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53177D" w14:textId="3C5B0E91" w:rsidR="00A671E7" w:rsidRDefault="00A15B3F" w:rsidP="005B5A00">
      <w:pPr>
        <w:suppressAutoHyphens w:val="0"/>
        <w:adjustRightInd/>
        <w:snapToGrid/>
        <w:jc w:val="both"/>
      </w:pPr>
      <w:r w:rsidRPr="00C53564">
        <w:rPr>
          <w:noProof/>
          <w:color w:val="FFFFFF" w:themeColor="background1"/>
        </w:rPr>
        <mc:AlternateContent>
          <mc:Choice Requires="wps">
            <w:drawing>
              <wp:anchor distT="0" distB="0" distL="114300" distR="114300" simplePos="0" relativeHeight="251657728" behindDoc="0" locked="0" layoutInCell="1" allowOverlap="1" wp14:anchorId="2BE2F9ED" wp14:editId="13257FAB">
                <wp:simplePos x="0" y="0"/>
                <wp:positionH relativeFrom="page">
                  <wp:align>center</wp:align>
                </wp:positionH>
                <wp:positionV relativeFrom="page">
                  <wp:posOffset>3253740</wp:posOffset>
                </wp:positionV>
                <wp:extent cx="7055485" cy="5273040"/>
                <wp:effectExtent l="0" t="0" r="0" b="0"/>
                <wp:wrapNone/>
                <wp:docPr id="2094" name="Rechteck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055485" cy="52730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D3061B" w14:textId="2ECE1A1A" w:rsidR="00E437B1" w:rsidRPr="00D06E53" w:rsidRDefault="00E437B1" w:rsidP="004E508A">
                            <w:pPr>
                              <w:pStyle w:val="CMSAddress"/>
                              <w:rPr>
                                <w:color w:val="000000" w:themeColor="text1"/>
                                <w:sz w:val="56"/>
                                <w:szCs w:val="56"/>
                              </w:rPr>
                            </w:pPr>
                            <w:r>
                              <w:rPr>
                                <w:i/>
                                <w:color w:val="000000" w:themeColor="text1"/>
                                <w:sz w:val="56"/>
                                <w:szCs w:val="56"/>
                              </w:rPr>
                              <w:t>Beispielsfrau &amp; Mustermann</w:t>
                            </w:r>
                            <w:r w:rsidRPr="00E146EC">
                              <w:rPr>
                                <w:i/>
                                <w:color w:val="000000" w:themeColor="text1"/>
                                <w:sz w:val="56"/>
                                <w:szCs w:val="56"/>
                              </w:rPr>
                              <w:t xml:space="preserve"> </w:t>
                            </w:r>
                            <w:r>
                              <w:rPr>
                                <w:i/>
                                <w:color w:val="000000" w:themeColor="text1"/>
                                <w:sz w:val="56"/>
                                <w:szCs w:val="56"/>
                              </w:rPr>
                              <w:t>Rechtsanwälte</w:t>
                            </w:r>
                            <w:r w:rsidRPr="00E146EC">
                              <w:rPr>
                                <w:i/>
                                <w:color w:val="000000" w:themeColor="text1"/>
                                <w:sz w:val="56"/>
                                <w:szCs w:val="56"/>
                              </w:rPr>
                              <w:t xml:space="preserve"> </w:t>
                            </w:r>
                            <w:r>
                              <w:rPr>
                                <w:i/>
                                <w:color w:val="000000" w:themeColor="text1"/>
                                <w:sz w:val="56"/>
                                <w:szCs w:val="56"/>
                              </w:rPr>
                              <w:t>Partnerschaft</w:t>
                            </w:r>
                            <w:r>
                              <w:rPr>
                                <w:color w:val="000000" w:themeColor="text1"/>
                                <w:sz w:val="56"/>
                                <w:szCs w:val="56"/>
                              </w:rPr>
                              <w:t xml:space="preserve"> - Risikoanalyse Kanzlei/Unternehmen</w:t>
                            </w:r>
                          </w:p>
                          <w:p w14:paraId="6B2E5304" w14:textId="77777777" w:rsidR="00E437B1" w:rsidRDefault="00E437B1" w:rsidP="00A671E7">
                            <w:pPr>
                              <w:pStyle w:val="CMSAddress"/>
                              <w:rPr>
                                <w:color w:val="000000" w:themeColor="text1"/>
                                <w:sz w:val="44"/>
                                <w:szCs w:val="44"/>
                              </w:rPr>
                            </w:pPr>
                          </w:p>
                          <w:p w14:paraId="6B33A993" w14:textId="77777777" w:rsidR="00E437B1" w:rsidRDefault="00E437B1" w:rsidP="00A671E7">
                            <w:pPr>
                              <w:pStyle w:val="CMSAddress"/>
                              <w:rPr>
                                <w:color w:val="000000" w:themeColor="text1"/>
                                <w:sz w:val="44"/>
                                <w:szCs w:val="44"/>
                              </w:rPr>
                            </w:pPr>
                          </w:p>
                          <w:p w14:paraId="37FD669C" w14:textId="77777777" w:rsidR="00E437B1" w:rsidRDefault="00E437B1" w:rsidP="00A671E7">
                            <w:pPr>
                              <w:pStyle w:val="CMSAddress"/>
                              <w:rPr>
                                <w:color w:val="000000" w:themeColor="text1"/>
                                <w:sz w:val="44"/>
                                <w:szCs w:val="44"/>
                              </w:rPr>
                            </w:pPr>
                          </w:p>
                          <w:p w14:paraId="7DA40A30" w14:textId="69F59325" w:rsidR="00E437B1" w:rsidRPr="00A671E7" w:rsidRDefault="00E437B1" w:rsidP="00A671E7">
                            <w:pPr>
                              <w:pStyle w:val="CMSAddress"/>
                              <w:rPr>
                                <w:color w:val="000000" w:themeColor="text1"/>
                                <w:sz w:val="44"/>
                                <w:szCs w:val="44"/>
                              </w:rPr>
                            </w:pPr>
                            <w:r>
                              <w:rPr>
                                <w:color w:val="000000" w:themeColor="text1"/>
                                <w:sz w:val="44"/>
                                <w:szCs w:val="44"/>
                              </w:rPr>
                              <w:t>Geldwäsche-Risikoanalyse gemäß § 5 GwG</w:t>
                            </w:r>
                          </w:p>
                        </w:txbxContent>
                      </wps:txbx>
                      <wps:bodyPr rot="0" spcFirstLastPara="0" vertOverflow="overflow" horzOverflow="overflow" vert="horz" wrap="square" lIns="504000" tIns="360000" rIns="756000" bIns="25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E2F9ED" id="Rechteck 4" o:spid="_x0000_s1026" style="position:absolute;left:0;text-align:left;margin-left:0;margin-top:256.2pt;width:555.55pt;height:415.2pt;z-index:251657728;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" filled="f" stroked="f" strokeweight="2pt">
                <o:lock v:ext="edit" aspectratio="t"/>
                <v:textbox inset="14mm,10mm,21mm,7mm">
                  <w:txbxContent>
                    <w:p w14:paraId="0BD3061B" w14:textId="2ECE1A1A" w:rsidR="00E437B1" w:rsidRPr="00D06E53" w:rsidRDefault="00E437B1" w:rsidP="004E508A">
                      <w:pPr>
                        <w:pStyle w:val="CMSAddress"/>
                        <w:rPr>
                          <w:color w:val="000000" w:themeColor="text1"/>
                          <w:sz w:val="56"/>
                          <w:szCs w:val="56"/>
                        </w:rPr>
                      </w:pPr>
                      <w:r>
                        <w:rPr>
                          <w:i/>
                          <w:color w:val="000000" w:themeColor="text1"/>
                          <w:sz w:val="56"/>
                          <w:szCs w:val="56"/>
                        </w:rPr>
                        <w:t>Beispielsfrau &amp; Mustermann</w:t>
                      </w:r>
                      <w:r w:rsidRPr="00E146EC">
                        <w:rPr>
                          <w:i/>
                          <w:color w:val="000000" w:themeColor="text1"/>
                          <w:sz w:val="56"/>
                          <w:szCs w:val="56"/>
                        </w:rPr>
                        <w:t xml:space="preserve"> </w:t>
                      </w:r>
                      <w:r>
                        <w:rPr>
                          <w:i/>
                          <w:color w:val="000000" w:themeColor="text1"/>
                          <w:sz w:val="56"/>
                          <w:szCs w:val="56"/>
                        </w:rPr>
                        <w:t>Rechtsanwälte</w:t>
                      </w:r>
                      <w:r w:rsidRPr="00E146EC">
                        <w:rPr>
                          <w:i/>
                          <w:color w:val="000000" w:themeColor="text1"/>
                          <w:sz w:val="56"/>
                          <w:szCs w:val="56"/>
                        </w:rPr>
                        <w:t xml:space="preserve"> </w:t>
                      </w:r>
                      <w:r>
                        <w:rPr>
                          <w:i/>
                          <w:color w:val="000000" w:themeColor="text1"/>
                          <w:sz w:val="56"/>
                          <w:szCs w:val="56"/>
                        </w:rPr>
                        <w:t>Partnerschaft</w:t>
                      </w:r>
                      <w:r>
                        <w:rPr>
                          <w:color w:val="000000" w:themeColor="text1"/>
                          <w:sz w:val="56"/>
                          <w:szCs w:val="56"/>
                        </w:rPr>
                        <w:t xml:space="preserve"> - Risikoanalyse Kanzlei/Unternehmen</w:t>
                      </w:r>
                    </w:p>
                    <w:p w14:paraId="6B2E5304" w14:textId="77777777" w:rsidR="00E437B1" w:rsidRDefault="00E437B1" w:rsidP="00A671E7">
                      <w:pPr>
                        <w:pStyle w:val="CMSAddress"/>
                        <w:rPr>
                          <w:color w:val="000000" w:themeColor="text1"/>
                          <w:sz w:val="44"/>
                          <w:szCs w:val="44"/>
                        </w:rPr>
                      </w:pPr>
                    </w:p>
                    <w:p w14:paraId="6B33A993" w14:textId="77777777" w:rsidR="00E437B1" w:rsidRDefault="00E437B1" w:rsidP="00A671E7">
                      <w:pPr>
                        <w:pStyle w:val="CMSAddress"/>
                        <w:rPr>
                          <w:color w:val="000000" w:themeColor="text1"/>
                          <w:sz w:val="44"/>
                          <w:szCs w:val="44"/>
                        </w:rPr>
                      </w:pPr>
                    </w:p>
                    <w:p w14:paraId="37FD669C" w14:textId="77777777" w:rsidR="00E437B1" w:rsidRDefault="00E437B1" w:rsidP="00A671E7">
                      <w:pPr>
                        <w:pStyle w:val="CMSAddress"/>
                        <w:rPr>
                          <w:color w:val="000000" w:themeColor="text1"/>
                          <w:sz w:val="44"/>
                          <w:szCs w:val="44"/>
                        </w:rPr>
                      </w:pPr>
                    </w:p>
                    <w:p w14:paraId="7DA40A30" w14:textId="69F59325" w:rsidR="00E437B1" w:rsidRPr="00A671E7" w:rsidRDefault="00E437B1" w:rsidP="00A671E7">
                      <w:pPr>
                        <w:pStyle w:val="CMSAddress"/>
                        <w:rPr>
                          <w:color w:val="000000" w:themeColor="text1"/>
                          <w:sz w:val="44"/>
                          <w:szCs w:val="44"/>
                        </w:rPr>
                      </w:pPr>
                      <w:r>
                        <w:rPr>
                          <w:color w:val="000000" w:themeColor="text1"/>
                          <w:sz w:val="44"/>
                          <w:szCs w:val="44"/>
                        </w:rPr>
                        <w:t>Geldwäsche-Risikoanalyse gemäß § 5 GwG</w:t>
                      </w:r>
                    </w:p>
                  </w:txbxContent>
                </v:textbox>
                <w10:wrap anchorx="page" anchory="page"/>
              </v:rect>
            </w:pict>
          </mc:Fallback>
        </mc:AlternateContent>
      </w:r>
      <w:sdt>
        <w:sdtPr>
          <w:id w:val="1659805047"/>
          <w:docPartObj>
            <w:docPartGallery w:val="Cover Pages"/>
            <w:docPartUnique/>
          </w:docPartObj>
        </w:sdtPr>
        <w:sdtEndPr/>
        <w:sdtContent>
          <w:r w:rsidR="00A671E7">
            <w:br w:type="page"/>
          </w:r>
        </w:sdtContent>
      </w:sdt>
    </w:p>
    <w:p w14:paraId="03B90263" w14:textId="77777777" w:rsidR="004F68D2" w:rsidRDefault="004F68D2" w:rsidP="005B5A00">
      <w:pPr>
        <w:jc w:val="both"/>
      </w:pPr>
    </w:p>
    <w:p w14:paraId="6B9D39B3" w14:textId="77777777" w:rsidR="00AF4A98" w:rsidRDefault="00AF4A98" w:rsidP="005B5A00">
      <w:pPr>
        <w:jc w:val="both"/>
      </w:pPr>
    </w:p>
    <w:p w14:paraId="09BB688A" w14:textId="77777777" w:rsidR="00AF4A98" w:rsidRPr="00AF4A98" w:rsidRDefault="00AF4A98" w:rsidP="005B5A00">
      <w:pPr>
        <w:tabs>
          <w:tab w:val="left" w:pos="1206"/>
        </w:tabs>
        <w:jc w:val="both"/>
        <w:rPr>
          <w:rFonts w:ascii="Calibri" w:hAnsi="Calibri"/>
          <w:color w:val="002060"/>
          <w:sz w:val="32"/>
          <w:szCs w:val="32"/>
        </w:rPr>
      </w:pPr>
      <w:r w:rsidRPr="00AF4A98">
        <w:rPr>
          <w:rFonts w:ascii="Calibri" w:hAnsi="Calibri"/>
          <w:color w:val="002060"/>
          <w:sz w:val="32"/>
          <w:szCs w:val="32"/>
        </w:rPr>
        <w:t>Inhalt</w:t>
      </w:r>
      <w:r w:rsidR="00F94367">
        <w:rPr>
          <w:rFonts w:ascii="Calibri" w:hAnsi="Calibri"/>
          <w:color w:val="002060"/>
          <w:sz w:val="32"/>
          <w:szCs w:val="32"/>
        </w:rPr>
        <w:tab/>
      </w:r>
    </w:p>
    <w:p w14:paraId="75A627CF" w14:textId="77777777" w:rsidR="00AF4A98" w:rsidRDefault="00AF4A98" w:rsidP="005B5A00">
      <w:pPr>
        <w:jc w:val="both"/>
      </w:pPr>
    </w:p>
    <w:p w14:paraId="02521A74" w14:textId="77777777" w:rsidR="00992A7E" w:rsidRPr="00522144" w:rsidRDefault="00992A7E" w:rsidP="005B5A00">
      <w:pPr>
        <w:jc w:val="both"/>
      </w:pPr>
    </w:p>
    <w:p w14:paraId="22CD7722" w14:textId="77777777" w:rsidR="00AF4A98" w:rsidRPr="00EF1C45" w:rsidRDefault="00AF4A98" w:rsidP="005B5A00">
      <w:pPr>
        <w:jc w:val="both"/>
        <w:rPr>
          <w:b/>
        </w:rPr>
      </w:pPr>
    </w:p>
    <w:p w14:paraId="20B61C81" w14:textId="5E724662" w:rsidR="00987A70" w:rsidRDefault="00AF4A98">
      <w:pPr>
        <w:pStyle w:val="Verzeichnis2"/>
        <w:tabs>
          <w:tab w:val="left" w:pos="1134"/>
        </w:tabs>
        <w:rPr>
          <w:rFonts w:eastAsiaTheme="minorEastAsia" w:cstheme="minorBidi"/>
          <w:noProof/>
          <w:sz w:val="22"/>
          <w:szCs w:val="22"/>
        </w:rPr>
      </w:pPr>
      <w:r w:rsidRPr="00531E5F">
        <w:fldChar w:fldCharType="begin"/>
      </w:r>
      <w:r w:rsidRPr="00531E5F">
        <w:instrText xml:space="preserve"> TOC \o "1-3" \h \z \u </w:instrText>
      </w:r>
      <w:r w:rsidRPr="00531E5F">
        <w:fldChar w:fldCharType="separate"/>
      </w:r>
      <w:hyperlink w:anchor="_Toc28008491" w:history="1">
        <w:r w:rsidR="00987A70" w:rsidRPr="00337B3E">
          <w:rPr>
            <w:rStyle w:val="Hyperlink"/>
            <w:noProof/>
          </w:rPr>
          <w:t>I.</w:t>
        </w:r>
        <w:r w:rsidR="00987A70">
          <w:rPr>
            <w:rFonts w:eastAsiaTheme="minorEastAsia" w:cstheme="minorBidi"/>
            <w:noProof/>
            <w:sz w:val="22"/>
            <w:szCs w:val="22"/>
          </w:rPr>
          <w:tab/>
        </w:r>
        <w:r w:rsidR="00987A70" w:rsidRPr="00337B3E">
          <w:rPr>
            <w:rStyle w:val="Hyperlink"/>
            <w:noProof/>
          </w:rPr>
          <w:t>Rechtsgrundlage</w:t>
        </w:r>
        <w:r w:rsidR="00C37866">
          <w:rPr>
            <w:rStyle w:val="Hyperlink"/>
            <w:noProof/>
          </w:rPr>
          <w:t>n</w:t>
        </w:r>
        <w:r w:rsidR="00987A70">
          <w:rPr>
            <w:noProof/>
            <w:webHidden/>
          </w:rPr>
          <w:tab/>
        </w:r>
        <w:r w:rsidR="00987A70">
          <w:rPr>
            <w:noProof/>
            <w:webHidden/>
          </w:rPr>
          <w:fldChar w:fldCharType="begin"/>
        </w:r>
        <w:r w:rsidR="00987A70">
          <w:rPr>
            <w:noProof/>
            <w:webHidden/>
          </w:rPr>
          <w:instrText xml:space="preserve"> PAGEREF _Toc28008491 \h </w:instrText>
        </w:r>
        <w:r w:rsidR="00987A70">
          <w:rPr>
            <w:noProof/>
            <w:webHidden/>
          </w:rPr>
        </w:r>
        <w:r w:rsidR="00987A70">
          <w:rPr>
            <w:noProof/>
            <w:webHidden/>
          </w:rPr>
          <w:fldChar w:fldCharType="separate"/>
        </w:r>
        <w:r w:rsidR="000965A6">
          <w:rPr>
            <w:noProof/>
            <w:webHidden/>
          </w:rPr>
          <w:t>2</w:t>
        </w:r>
        <w:r w:rsidR="00987A70">
          <w:rPr>
            <w:noProof/>
            <w:webHidden/>
          </w:rPr>
          <w:fldChar w:fldCharType="end"/>
        </w:r>
      </w:hyperlink>
    </w:p>
    <w:p w14:paraId="057055E9" w14:textId="750DE7AB" w:rsidR="00987A70" w:rsidRDefault="00192515">
      <w:pPr>
        <w:pStyle w:val="Verzeichnis2"/>
        <w:tabs>
          <w:tab w:val="left" w:pos="1134"/>
        </w:tabs>
        <w:rPr>
          <w:rFonts w:eastAsiaTheme="minorEastAsia" w:cstheme="minorBidi"/>
          <w:noProof/>
          <w:sz w:val="22"/>
          <w:szCs w:val="22"/>
        </w:rPr>
      </w:pPr>
      <w:hyperlink w:anchor="_Toc28008492" w:history="1">
        <w:r w:rsidR="00987A70" w:rsidRPr="00337B3E">
          <w:rPr>
            <w:rStyle w:val="Hyperlink"/>
            <w:noProof/>
          </w:rPr>
          <w:t>II.</w:t>
        </w:r>
        <w:r w:rsidR="00987A70">
          <w:rPr>
            <w:rFonts w:eastAsiaTheme="minorEastAsia" w:cstheme="minorBidi"/>
            <w:noProof/>
            <w:sz w:val="22"/>
            <w:szCs w:val="22"/>
          </w:rPr>
          <w:tab/>
        </w:r>
        <w:r w:rsidR="00987A70" w:rsidRPr="00337B3E">
          <w:rPr>
            <w:rStyle w:val="Hyperlink"/>
            <w:noProof/>
          </w:rPr>
          <w:t>Faktoren der Risikoanalyse</w:t>
        </w:r>
        <w:r w:rsidR="00987A70">
          <w:rPr>
            <w:noProof/>
            <w:webHidden/>
          </w:rPr>
          <w:tab/>
        </w:r>
        <w:r w:rsidR="00987A70">
          <w:rPr>
            <w:noProof/>
            <w:webHidden/>
          </w:rPr>
          <w:fldChar w:fldCharType="begin"/>
        </w:r>
        <w:r w:rsidR="00987A70">
          <w:rPr>
            <w:noProof/>
            <w:webHidden/>
          </w:rPr>
          <w:instrText xml:space="preserve"> PAGEREF _Toc28008492 \h </w:instrText>
        </w:r>
        <w:r w:rsidR="00987A70">
          <w:rPr>
            <w:noProof/>
            <w:webHidden/>
          </w:rPr>
        </w:r>
        <w:r w:rsidR="00987A70">
          <w:rPr>
            <w:noProof/>
            <w:webHidden/>
          </w:rPr>
          <w:fldChar w:fldCharType="separate"/>
        </w:r>
        <w:r w:rsidR="000965A6">
          <w:rPr>
            <w:noProof/>
            <w:webHidden/>
          </w:rPr>
          <w:t>3</w:t>
        </w:r>
        <w:r w:rsidR="00987A70">
          <w:rPr>
            <w:noProof/>
            <w:webHidden/>
          </w:rPr>
          <w:fldChar w:fldCharType="end"/>
        </w:r>
      </w:hyperlink>
    </w:p>
    <w:p w14:paraId="419C8557" w14:textId="35BBDEE7" w:rsidR="00987A70" w:rsidRDefault="00192515">
      <w:pPr>
        <w:pStyle w:val="Verzeichnis3"/>
        <w:tabs>
          <w:tab w:val="left" w:pos="1701"/>
        </w:tabs>
        <w:rPr>
          <w:rFonts w:eastAsiaTheme="minorEastAsia" w:cstheme="minorBidi"/>
          <w:noProof/>
          <w:sz w:val="22"/>
          <w:szCs w:val="22"/>
        </w:rPr>
      </w:pPr>
      <w:hyperlink w:anchor="_Toc28008493" w:history="1">
        <w:r w:rsidR="00987A70" w:rsidRPr="00337B3E">
          <w:rPr>
            <w:rStyle w:val="Hyperlink"/>
            <w:noProof/>
          </w:rPr>
          <w:t>1.</w:t>
        </w:r>
        <w:r w:rsidR="00987A70">
          <w:rPr>
            <w:rFonts w:eastAsiaTheme="minorEastAsia" w:cstheme="minorBidi"/>
            <w:noProof/>
            <w:sz w:val="22"/>
            <w:szCs w:val="22"/>
          </w:rPr>
          <w:tab/>
        </w:r>
        <w:r w:rsidR="00987A70" w:rsidRPr="00337B3E">
          <w:rPr>
            <w:rStyle w:val="Hyperlink"/>
            <w:noProof/>
          </w:rPr>
          <w:t>Kanzlei- und Mitarbeiterstruktur</w:t>
        </w:r>
        <w:r w:rsidR="00987A70">
          <w:rPr>
            <w:noProof/>
            <w:webHidden/>
          </w:rPr>
          <w:tab/>
        </w:r>
        <w:r w:rsidR="00987A70">
          <w:rPr>
            <w:noProof/>
            <w:webHidden/>
          </w:rPr>
          <w:fldChar w:fldCharType="begin"/>
        </w:r>
        <w:r w:rsidR="00987A70">
          <w:rPr>
            <w:noProof/>
            <w:webHidden/>
          </w:rPr>
          <w:instrText xml:space="preserve"> PAGEREF _Toc28008493 \h </w:instrText>
        </w:r>
        <w:r w:rsidR="00987A70">
          <w:rPr>
            <w:noProof/>
            <w:webHidden/>
          </w:rPr>
        </w:r>
        <w:r w:rsidR="00987A70">
          <w:rPr>
            <w:noProof/>
            <w:webHidden/>
          </w:rPr>
          <w:fldChar w:fldCharType="separate"/>
        </w:r>
        <w:r w:rsidR="000965A6">
          <w:rPr>
            <w:noProof/>
            <w:webHidden/>
          </w:rPr>
          <w:t>3</w:t>
        </w:r>
        <w:r w:rsidR="00987A70">
          <w:rPr>
            <w:noProof/>
            <w:webHidden/>
          </w:rPr>
          <w:fldChar w:fldCharType="end"/>
        </w:r>
      </w:hyperlink>
    </w:p>
    <w:p w14:paraId="2CB42F33" w14:textId="55378601" w:rsidR="00987A70" w:rsidRDefault="00192515">
      <w:pPr>
        <w:pStyle w:val="Verzeichnis3"/>
        <w:tabs>
          <w:tab w:val="left" w:pos="1701"/>
        </w:tabs>
        <w:rPr>
          <w:rFonts w:eastAsiaTheme="minorEastAsia" w:cstheme="minorBidi"/>
          <w:noProof/>
          <w:sz w:val="22"/>
          <w:szCs w:val="22"/>
        </w:rPr>
      </w:pPr>
      <w:hyperlink w:anchor="_Toc28008494" w:history="1">
        <w:r w:rsidR="00987A70" w:rsidRPr="00337B3E">
          <w:rPr>
            <w:rStyle w:val="Hyperlink"/>
            <w:noProof/>
          </w:rPr>
          <w:t>2.</w:t>
        </w:r>
        <w:r w:rsidR="00987A70">
          <w:rPr>
            <w:rFonts w:eastAsiaTheme="minorEastAsia" w:cstheme="minorBidi"/>
            <w:noProof/>
            <w:sz w:val="22"/>
            <w:szCs w:val="22"/>
          </w:rPr>
          <w:tab/>
        </w:r>
        <w:r w:rsidR="00987A70" w:rsidRPr="00337B3E">
          <w:rPr>
            <w:rStyle w:val="Hyperlink"/>
            <w:noProof/>
          </w:rPr>
          <w:t>Organisationsstruktur</w:t>
        </w:r>
        <w:r w:rsidR="00987A70">
          <w:rPr>
            <w:noProof/>
            <w:webHidden/>
          </w:rPr>
          <w:tab/>
        </w:r>
        <w:r w:rsidR="00C37866">
          <w:rPr>
            <w:noProof/>
            <w:webHidden/>
          </w:rPr>
          <w:t>3</w:t>
        </w:r>
      </w:hyperlink>
    </w:p>
    <w:p w14:paraId="17839424" w14:textId="22D8197C" w:rsidR="00987A70" w:rsidRDefault="00192515">
      <w:pPr>
        <w:pStyle w:val="Verzeichnis3"/>
        <w:tabs>
          <w:tab w:val="left" w:pos="1701"/>
        </w:tabs>
        <w:rPr>
          <w:rFonts w:eastAsiaTheme="minorEastAsia" w:cstheme="minorBidi"/>
          <w:noProof/>
          <w:sz w:val="22"/>
          <w:szCs w:val="22"/>
        </w:rPr>
      </w:pPr>
      <w:hyperlink w:anchor="_Toc28008495" w:history="1">
        <w:r w:rsidR="005914CF" w:rsidRPr="00337B3E">
          <w:rPr>
            <w:rStyle w:val="Hyperlink"/>
            <w:noProof/>
          </w:rPr>
          <w:t>3.</w:t>
        </w:r>
        <w:r w:rsidR="005914CF">
          <w:rPr>
            <w:rFonts w:eastAsiaTheme="minorEastAsia" w:cstheme="minorBidi"/>
            <w:noProof/>
            <w:sz w:val="22"/>
            <w:szCs w:val="22"/>
          </w:rPr>
          <w:tab/>
        </w:r>
        <w:r w:rsidR="005914CF" w:rsidRPr="00337B3E">
          <w:rPr>
            <w:rStyle w:val="Hyperlink"/>
            <w:noProof/>
          </w:rPr>
          <w:t>Mandantenstruktur</w:t>
        </w:r>
        <w:r w:rsidR="005914CF">
          <w:rPr>
            <w:noProof/>
            <w:webHidden/>
          </w:rPr>
          <w:tab/>
          <w:t>3</w:t>
        </w:r>
      </w:hyperlink>
    </w:p>
    <w:p w14:paraId="2DD6F009" w14:textId="3043C011" w:rsidR="00987A70" w:rsidRDefault="00192515">
      <w:pPr>
        <w:pStyle w:val="Verzeichnis3"/>
        <w:tabs>
          <w:tab w:val="left" w:pos="1701"/>
        </w:tabs>
        <w:rPr>
          <w:rFonts w:eastAsiaTheme="minorEastAsia" w:cstheme="minorBidi"/>
          <w:noProof/>
          <w:sz w:val="22"/>
          <w:szCs w:val="22"/>
        </w:rPr>
      </w:pPr>
      <w:hyperlink w:anchor="_Toc28008496" w:history="1">
        <w:r w:rsidR="00C37866" w:rsidRPr="00337B3E">
          <w:rPr>
            <w:rStyle w:val="Hyperlink"/>
            <w:noProof/>
          </w:rPr>
          <w:t>4.</w:t>
        </w:r>
        <w:r w:rsidR="00C37866">
          <w:rPr>
            <w:rFonts w:eastAsiaTheme="minorEastAsia" w:cstheme="minorBidi"/>
            <w:noProof/>
            <w:sz w:val="22"/>
            <w:szCs w:val="22"/>
          </w:rPr>
          <w:tab/>
        </w:r>
        <w:r w:rsidR="00C37866" w:rsidRPr="00337B3E">
          <w:rPr>
            <w:rStyle w:val="Hyperlink"/>
            <w:noProof/>
          </w:rPr>
          <w:t>Mandatsstruktur (Geschäftsrisiko)</w:t>
        </w:r>
        <w:r w:rsidR="00C37866">
          <w:rPr>
            <w:noProof/>
            <w:webHidden/>
          </w:rPr>
          <w:tab/>
          <w:t>7</w:t>
        </w:r>
      </w:hyperlink>
    </w:p>
    <w:p w14:paraId="29C363A2" w14:textId="322C0C17" w:rsidR="00987A70" w:rsidRDefault="00192515">
      <w:pPr>
        <w:pStyle w:val="Verzeichnis3"/>
        <w:tabs>
          <w:tab w:val="left" w:pos="1701"/>
        </w:tabs>
        <w:rPr>
          <w:rFonts w:eastAsiaTheme="minorEastAsia" w:cstheme="minorBidi"/>
          <w:noProof/>
          <w:sz w:val="22"/>
          <w:szCs w:val="22"/>
        </w:rPr>
      </w:pPr>
      <w:hyperlink w:anchor="_Toc28008497" w:history="1">
        <w:r w:rsidR="00C37866" w:rsidRPr="00337B3E">
          <w:rPr>
            <w:rStyle w:val="Hyperlink"/>
            <w:noProof/>
          </w:rPr>
          <w:t>5.</w:t>
        </w:r>
        <w:r w:rsidR="00C37866">
          <w:rPr>
            <w:rFonts w:eastAsiaTheme="minorEastAsia" w:cstheme="minorBidi"/>
            <w:noProof/>
            <w:sz w:val="22"/>
            <w:szCs w:val="22"/>
          </w:rPr>
          <w:tab/>
        </w:r>
        <w:r w:rsidR="00C37866" w:rsidRPr="00337B3E">
          <w:rPr>
            <w:rStyle w:val="Hyperlink"/>
            <w:noProof/>
          </w:rPr>
          <w:t>Transaktionsstruktur</w:t>
        </w:r>
        <w:r w:rsidR="00C37866">
          <w:rPr>
            <w:noProof/>
            <w:webHidden/>
          </w:rPr>
          <w:tab/>
          <w:t>11</w:t>
        </w:r>
      </w:hyperlink>
    </w:p>
    <w:p w14:paraId="6239EF17" w14:textId="38603BD9" w:rsidR="00987A70" w:rsidRDefault="00192515">
      <w:pPr>
        <w:pStyle w:val="Verzeichnis2"/>
        <w:tabs>
          <w:tab w:val="left" w:pos="1134"/>
        </w:tabs>
        <w:rPr>
          <w:rFonts w:eastAsiaTheme="minorEastAsia" w:cstheme="minorBidi"/>
          <w:noProof/>
          <w:sz w:val="22"/>
          <w:szCs w:val="22"/>
        </w:rPr>
      </w:pPr>
      <w:hyperlink w:anchor="_Toc28008499" w:history="1">
        <w:r w:rsidR="00C37866" w:rsidRPr="00337B3E">
          <w:rPr>
            <w:rStyle w:val="Hyperlink"/>
            <w:noProof/>
          </w:rPr>
          <w:t>III.</w:t>
        </w:r>
        <w:r w:rsidR="00C37866">
          <w:rPr>
            <w:rFonts w:eastAsiaTheme="minorEastAsia" w:cstheme="minorBidi"/>
            <w:noProof/>
            <w:sz w:val="22"/>
            <w:szCs w:val="22"/>
          </w:rPr>
          <w:tab/>
        </w:r>
        <w:r w:rsidR="00C37866" w:rsidRPr="00337B3E">
          <w:rPr>
            <w:rStyle w:val="Hyperlink"/>
            <w:noProof/>
          </w:rPr>
          <w:t>Risikobestimmung</w:t>
        </w:r>
        <w:r w:rsidR="00C37866">
          <w:rPr>
            <w:noProof/>
            <w:webHidden/>
          </w:rPr>
          <w:tab/>
          <w:t>12</w:t>
        </w:r>
      </w:hyperlink>
    </w:p>
    <w:p w14:paraId="63963C91" w14:textId="5EE4B385" w:rsidR="00987A70" w:rsidRDefault="00192515">
      <w:pPr>
        <w:pStyle w:val="Verzeichnis3"/>
        <w:tabs>
          <w:tab w:val="left" w:pos="1701"/>
        </w:tabs>
        <w:rPr>
          <w:rFonts w:eastAsiaTheme="minorEastAsia" w:cstheme="minorBidi"/>
          <w:noProof/>
          <w:sz w:val="22"/>
          <w:szCs w:val="22"/>
        </w:rPr>
      </w:pPr>
      <w:hyperlink w:anchor="_Toc28008500" w:history="1">
        <w:r w:rsidR="00C37866" w:rsidRPr="00337B3E">
          <w:rPr>
            <w:rStyle w:val="Hyperlink"/>
            <w:noProof/>
          </w:rPr>
          <w:t>1.</w:t>
        </w:r>
        <w:r w:rsidR="00C37866">
          <w:rPr>
            <w:rFonts w:eastAsiaTheme="minorEastAsia" w:cstheme="minorBidi"/>
            <w:noProof/>
            <w:sz w:val="22"/>
            <w:szCs w:val="22"/>
          </w:rPr>
          <w:tab/>
        </w:r>
        <w:r w:rsidR="00C37866" w:rsidRPr="00337B3E">
          <w:rPr>
            <w:rStyle w:val="Hyperlink"/>
            <w:noProof/>
          </w:rPr>
          <w:t>Quellen für die Risikobestimmung</w:t>
        </w:r>
        <w:r w:rsidR="00C37866">
          <w:rPr>
            <w:noProof/>
            <w:webHidden/>
          </w:rPr>
          <w:tab/>
          <w:t>12</w:t>
        </w:r>
      </w:hyperlink>
    </w:p>
    <w:p w14:paraId="159E6025" w14:textId="06C7DE4B" w:rsidR="00987A70" w:rsidRDefault="00192515">
      <w:pPr>
        <w:pStyle w:val="Verzeichnis3"/>
        <w:tabs>
          <w:tab w:val="left" w:pos="1701"/>
        </w:tabs>
        <w:rPr>
          <w:rFonts w:eastAsiaTheme="minorEastAsia" w:cstheme="minorBidi"/>
          <w:noProof/>
          <w:sz w:val="22"/>
          <w:szCs w:val="22"/>
        </w:rPr>
      </w:pPr>
      <w:hyperlink w:anchor="_Toc28008501" w:history="1">
        <w:r w:rsidR="00C37866" w:rsidRPr="00337B3E">
          <w:rPr>
            <w:rStyle w:val="Hyperlink"/>
            <w:noProof/>
          </w:rPr>
          <w:t>2.</w:t>
        </w:r>
        <w:r w:rsidR="00C37866">
          <w:rPr>
            <w:rFonts w:eastAsiaTheme="minorEastAsia" w:cstheme="minorBidi"/>
            <w:noProof/>
            <w:sz w:val="22"/>
            <w:szCs w:val="22"/>
          </w:rPr>
          <w:tab/>
        </w:r>
        <w:r w:rsidR="00C37866" w:rsidRPr="00337B3E">
          <w:rPr>
            <w:rStyle w:val="Hyperlink"/>
            <w:noProof/>
          </w:rPr>
          <w:t>Risikobestimmung vor Mandatsannahme</w:t>
        </w:r>
        <w:r w:rsidR="00C37866">
          <w:rPr>
            <w:noProof/>
            <w:webHidden/>
          </w:rPr>
          <w:tab/>
          <w:t>13</w:t>
        </w:r>
      </w:hyperlink>
    </w:p>
    <w:p w14:paraId="77DB1A45" w14:textId="3CA7A914" w:rsidR="00987A70" w:rsidRDefault="00192515">
      <w:pPr>
        <w:pStyle w:val="Verzeichnis3"/>
        <w:tabs>
          <w:tab w:val="left" w:pos="1701"/>
        </w:tabs>
        <w:rPr>
          <w:rFonts w:eastAsiaTheme="minorEastAsia" w:cstheme="minorBidi"/>
          <w:noProof/>
          <w:sz w:val="22"/>
          <w:szCs w:val="22"/>
        </w:rPr>
      </w:pPr>
      <w:hyperlink w:anchor="_Toc28008502" w:history="1">
        <w:r w:rsidR="00C37866" w:rsidRPr="00337B3E">
          <w:rPr>
            <w:rStyle w:val="Hyperlink"/>
            <w:noProof/>
          </w:rPr>
          <w:t>3.</w:t>
        </w:r>
        <w:r w:rsidR="00C37866">
          <w:rPr>
            <w:rFonts w:eastAsiaTheme="minorEastAsia" w:cstheme="minorBidi"/>
            <w:noProof/>
            <w:sz w:val="22"/>
            <w:szCs w:val="22"/>
          </w:rPr>
          <w:tab/>
        </w:r>
        <w:r w:rsidR="00C37866" w:rsidRPr="00337B3E">
          <w:rPr>
            <w:rStyle w:val="Hyperlink"/>
            <w:noProof/>
          </w:rPr>
          <w:t>Risikobestimmung bei Mandatsannahme</w:t>
        </w:r>
        <w:r w:rsidR="00C37866">
          <w:rPr>
            <w:noProof/>
            <w:webHidden/>
          </w:rPr>
          <w:tab/>
          <w:t>13</w:t>
        </w:r>
      </w:hyperlink>
    </w:p>
    <w:p w14:paraId="2B8BB710" w14:textId="070E4933" w:rsidR="00987A70" w:rsidRDefault="00192515">
      <w:pPr>
        <w:pStyle w:val="Verzeichnis3"/>
        <w:tabs>
          <w:tab w:val="left" w:pos="1701"/>
        </w:tabs>
        <w:rPr>
          <w:rFonts w:eastAsiaTheme="minorEastAsia" w:cstheme="minorBidi"/>
          <w:noProof/>
          <w:sz w:val="22"/>
          <w:szCs w:val="22"/>
        </w:rPr>
      </w:pPr>
      <w:hyperlink w:anchor="_Toc28008503" w:history="1">
        <w:r w:rsidR="00C37866" w:rsidRPr="00337B3E">
          <w:rPr>
            <w:rStyle w:val="Hyperlink"/>
            <w:noProof/>
          </w:rPr>
          <w:t>4.</w:t>
        </w:r>
        <w:r w:rsidR="00C37866">
          <w:rPr>
            <w:rFonts w:eastAsiaTheme="minorEastAsia" w:cstheme="minorBidi"/>
            <w:noProof/>
            <w:sz w:val="22"/>
            <w:szCs w:val="22"/>
          </w:rPr>
          <w:tab/>
        </w:r>
        <w:r w:rsidR="00C37866" w:rsidRPr="00337B3E">
          <w:rPr>
            <w:rStyle w:val="Hyperlink"/>
            <w:noProof/>
          </w:rPr>
          <w:t>Risikobestimmung im Laufe der Mandatsbeziehung</w:t>
        </w:r>
        <w:r w:rsidR="00C37866">
          <w:rPr>
            <w:noProof/>
            <w:webHidden/>
          </w:rPr>
          <w:tab/>
          <w:t>14</w:t>
        </w:r>
      </w:hyperlink>
    </w:p>
    <w:p w14:paraId="29FAAD2B" w14:textId="4A1AD057" w:rsidR="00987A70" w:rsidRDefault="00192515">
      <w:pPr>
        <w:pStyle w:val="Verzeichnis2"/>
        <w:tabs>
          <w:tab w:val="left" w:pos="1134"/>
        </w:tabs>
        <w:rPr>
          <w:rFonts w:eastAsiaTheme="minorEastAsia" w:cstheme="minorBidi"/>
          <w:noProof/>
          <w:sz w:val="22"/>
          <w:szCs w:val="22"/>
        </w:rPr>
      </w:pPr>
      <w:hyperlink w:anchor="_Toc28008504" w:history="1">
        <w:r w:rsidR="00C37866" w:rsidRPr="00337B3E">
          <w:rPr>
            <w:rStyle w:val="Hyperlink"/>
            <w:noProof/>
          </w:rPr>
          <w:t>IV.</w:t>
        </w:r>
        <w:r w:rsidR="00C37866">
          <w:rPr>
            <w:rFonts w:eastAsiaTheme="minorEastAsia" w:cstheme="minorBidi"/>
            <w:noProof/>
            <w:sz w:val="22"/>
            <w:szCs w:val="22"/>
          </w:rPr>
          <w:tab/>
        </w:r>
        <w:r w:rsidR="00C37866" w:rsidRPr="00337B3E">
          <w:rPr>
            <w:rStyle w:val="Hyperlink"/>
            <w:noProof/>
          </w:rPr>
          <w:t>Gesamtbetrachtung und Maßnahmen</w:t>
        </w:r>
        <w:r w:rsidR="00C37866">
          <w:rPr>
            <w:noProof/>
            <w:webHidden/>
          </w:rPr>
          <w:tab/>
          <w:t>14</w:t>
        </w:r>
      </w:hyperlink>
    </w:p>
    <w:p w14:paraId="10D2019F" w14:textId="01B776E5" w:rsidR="00987A70" w:rsidRDefault="00192515">
      <w:pPr>
        <w:pStyle w:val="Verzeichnis3"/>
        <w:tabs>
          <w:tab w:val="left" w:pos="1701"/>
        </w:tabs>
        <w:rPr>
          <w:rFonts w:eastAsiaTheme="minorEastAsia" w:cstheme="minorBidi"/>
          <w:noProof/>
          <w:sz w:val="22"/>
          <w:szCs w:val="22"/>
        </w:rPr>
      </w:pPr>
      <w:hyperlink w:anchor="_Toc28008505" w:history="1">
        <w:r w:rsidR="00C37866" w:rsidRPr="00337B3E">
          <w:rPr>
            <w:rStyle w:val="Hyperlink"/>
            <w:noProof/>
          </w:rPr>
          <w:t>1.</w:t>
        </w:r>
        <w:r w:rsidR="00C37866">
          <w:rPr>
            <w:rFonts w:eastAsiaTheme="minorEastAsia" w:cstheme="minorBidi"/>
            <w:noProof/>
            <w:sz w:val="22"/>
            <w:szCs w:val="22"/>
          </w:rPr>
          <w:tab/>
        </w:r>
        <w:r w:rsidR="00C37866" w:rsidRPr="00337B3E">
          <w:rPr>
            <w:rStyle w:val="Hyperlink"/>
            <w:noProof/>
          </w:rPr>
          <w:t xml:space="preserve">Beachtung der </w:t>
        </w:r>
        <w:r w:rsidR="00C37866" w:rsidRPr="00337B3E">
          <w:rPr>
            <w:rStyle w:val="Hyperlink"/>
            <w:i/>
            <w:noProof/>
          </w:rPr>
          <w:t xml:space="preserve">Beispielsfrau &amp; Mustermann </w:t>
        </w:r>
        <w:r w:rsidR="00C37866" w:rsidRPr="00337B3E">
          <w:rPr>
            <w:rStyle w:val="Hyperlink"/>
            <w:noProof/>
          </w:rPr>
          <w:t>Geldwäscherichtlinie</w:t>
        </w:r>
        <w:r w:rsidR="00C37866">
          <w:rPr>
            <w:noProof/>
            <w:webHidden/>
          </w:rPr>
          <w:tab/>
          <w:t>14</w:t>
        </w:r>
      </w:hyperlink>
    </w:p>
    <w:p w14:paraId="6394F0AC" w14:textId="7658E822" w:rsidR="00987A70" w:rsidRDefault="00192515">
      <w:pPr>
        <w:pStyle w:val="Verzeichnis3"/>
        <w:tabs>
          <w:tab w:val="left" w:pos="1701"/>
        </w:tabs>
        <w:rPr>
          <w:rFonts w:eastAsiaTheme="minorEastAsia" w:cstheme="minorBidi"/>
          <w:noProof/>
          <w:sz w:val="22"/>
          <w:szCs w:val="22"/>
        </w:rPr>
      </w:pPr>
      <w:hyperlink w:anchor="_Toc28008506" w:history="1">
        <w:r w:rsidR="00C37866" w:rsidRPr="00337B3E">
          <w:rPr>
            <w:rStyle w:val="Hyperlink"/>
            <w:noProof/>
          </w:rPr>
          <w:t>2.</w:t>
        </w:r>
        <w:r w:rsidR="00C37866">
          <w:rPr>
            <w:rFonts w:eastAsiaTheme="minorEastAsia" w:cstheme="minorBidi"/>
            <w:noProof/>
            <w:sz w:val="22"/>
            <w:szCs w:val="22"/>
          </w:rPr>
          <w:tab/>
        </w:r>
        <w:r w:rsidR="00C37866" w:rsidRPr="00337B3E">
          <w:rPr>
            <w:rStyle w:val="Hyperlink"/>
            <w:noProof/>
          </w:rPr>
          <w:t>Überprüfung bei jedem neuen Mandat</w:t>
        </w:r>
        <w:r w:rsidR="00C37866">
          <w:rPr>
            <w:noProof/>
            <w:webHidden/>
          </w:rPr>
          <w:tab/>
          <w:t>14</w:t>
        </w:r>
      </w:hyperlink>
    </w:p>
    <w:p w14:paraId="63E1F45D" w14:textId="4BCE625B" w:rsidR="00987A70" w:rsidRDefault="00192515">
      <w:pPr>
        <w:pStyle w:val="Verzeichnis3"/>
        <w:tabs>
          <w:tab w:val="left" w:pos="1701"/>
        </w:tabs>
        <w:rPr>
          <w:rFonts w:eastAsiaTheme="minorEastAsia" w:cstheme="minorBidi"/>
          <w:noProof/>
          <w:sz w:val="22"/>
          <w:szCs w:val="22"/>
        </w:rPr>
      </w:pPr>
      <w:hyperlink w:anchor="_Toc28008507" w:history="1">
        <w:r w:rsidR="00C37866" w:rsidRPr="00337B3E">
          <w:rPr>
            <w:rStyle w:val="Hyperlink"/>
            <w:noProof/>
          </w:rPr>
          <w:t>3.</w:t>
        </w:r>
        <w:r w:rsidR="00C37866">
          <w:rPr>
            <w:rFonts w:eastAsiaTheme="minorEastAsia" w:cstheme="minorBidi"/>
            <w:noProof/>
            <w:sz w:val="22"/>
            <w:szCs w:val="22"/>
          </w:rPr>
          <w:tab/>
        </w:r>
        <w:r w:rsidR="00C37866" w:rsidRPr="00337B3E">
          <w:rPr>
            <w:rStyle w:val="Hyperlink"/>
            <w:noProof/>
          </w:rPr>
          <w:t>Bestellung eines Geldwäschebeauftragten in</w:t>
        </w:r>
        <w:r w:rsidR="00C37866">
          <w:rPr>
            <w:rStyle w:val="Hyperlink"/>
            <w:noProof/>
          </w:rPr>
          <w:t>k</w:t>
        </w:r>
        <w:r w:rsidR="00C37866" w:rsidRPr="00337B3E">
          <w:rPr>
            <w:rStyle w:val="Hyperlink"/>
            <w:noProof/>
          </w:rPr>
          <w:t>l. Stellvertreter</w:t>
        </w:r>
        <w:r w:rsidR="00C37866">
          <w:rPr>
            <w:noProof/>
            <w:webHidden/>
          </w:rPr>
          <w:tab/>
          <w:t>15</w:t>
        </w:r>
      </w:hyperlink>
    </w:p>
    <w:p w14:paraId="6E68739E" w14:textId="47A00D28" w:rsidR="00987A70" w:rsidRDefault="00192515">
      <w:pPr>
        <w:pStyle w:val="Verzeichnis3"/>
        <w:tabs>
          <w:tab w:val="left" w:pos="1701"/>
        </w:tabs>
        <w:rPr>
          <w:rFonts w:eastAsiaTheme="minorEastAsia" w:cstheme="minorBidi"/>
          <w:noProof/>
          <w:sz w:val="22"/>
          <w:szCs w:val="22"/>
        </w:rPr>
      </w:pPr>
      <w:hyperlink w:anchor="_Toc28008508" w:history="1">
        <w:r w:rsidR="00C37866" w:rsidRPr="00337B3E">
          <w:rPr>
            <w:rStyle w:val="Hyperlink"/>
            <w:noProof/>
          </w:rPr>
          <w:t>4.</w:t>
        </w:r>
        <w:r w:rsidR="00C37866">
          <w:rPr>
            <w:rFonts w:eastAsiaTheme="minorEastAsia" w:cstheme="minorBidi"/>
            <w:noProof/>
            <w:sz w:val="22"/>
            <w:szCs w:val="22"/>
          </w:rPr>
          <w:tab/>
        </w:r>
        <w:r w:rsidR="00C37866" w:rsidRPr="00337B3E">
          <w:rPr>
            <w:rStyle w:val="Hyperlink"/>
            <w:noProof/>
          </w:rPr>
          <w:t>Zuverlässigkeitsprüfung Mitarbeiter</w:t>
        </w:r>
        <w:r w:rsidR="00C37866">
          <w:rPr>
            <w:noProof/>
            <w:webHidden/>
          </w:rPr>
          <w:tab/>
          <w:t>15</w:t>
        </w:r>
      </w:hyperlink>
    </w:p>
    <w:p w14:paraId="38285A74" w14:textId="6225980A" w:rsidR="00987A70" w:rsidRDefault="00192515">
      <w:pPr>
        <w:pStyle w:val="Verzeichnis3"/>
        <w:tabs>
          <w:tab w:val="left" w:pos="1701"/>
        </w:tabs>
        <w:rPr>
          <w:rFonts w:eastAsiaTheme="minorEastAsia" w:cstheme="minorBidi"/>
          <w:noProof/>
          <w:sz w:val="22"/>
          <w:szCs w:val="22"/>
        </w:rPr>
      </w:pPr>
      <w:hyperlink w:anchor="_Toc28008509" w:history="1">
        <w:r w:rsidR="00C37866" w:rsidRPr="00337B3E">
          <w:rPr>
            <w:rStyle w:val="Hyperlink"/>
            <w:noProof/>
          </w:rPr>
          <w:t>5.</w:t>
        </w:r>
        <w:r w:rsidR="00C37866">
          <w:rPr>
            <w:rFonts w:eastAsiaTheme="minorEastAsia" w:cstheme="minorBidi"/>
            <w:noProof/>
            <w:sz w:val="22"/>
            <w:szCs w:val="22"/>
          </w:rPr>
          <w:tab/>
        </w:r>
        <w:r w:rsidR="00C37866" w:rsidRPr="00337B3E">
          <w:rPr>
            <w:rStyle w:val="Hyperlink"/>
            <w:noProof/>
          </w:rPr>
          <w:t>Jährliche Unterrichtung zum Thema Geldwäsche</w:t>
        </w:r>
        <w:r w:rsidR="00C37866">
          <w:rPr>
            <w:noProof/>
            <w:webHidden/>
          </w:rPr>
          <w:tab/>
          <w:t>15</w:t>
        </w:r>
      </w:hyperlink>
    </w:p>
    <w:p w14:paraId="7F22D6E6" w14:textId="57468FAC" w:rsidR="00987A70" w:rsidRDefault="00192515">
      <w:pPr>
        <w:pStyle w:val="Verzeichnis3"/>
        <w:tabs>
          <w:tab w:val="left" w:pos="1701"/>
        </w:tabs>
        <w:rPr>
          <w:rFonts w:eastAsiaTheme="minorEastAsia" w:cstheme="minorBidi"/>
          <w:noProof/>
          <w:sz w:val="22"/>
          <w:szCs w:val="22"/>
        </w:rPr>
      </w:pPr>
      <w:hyperlink w:anchor="_Toc28008510" w:history="1">
        <w:r w:rsidR="00C37866" w:rsidRPr="00337B3E">
          <w:rPr>
            <w:rStyle w:val="Hyperlink"/>
            <w:noProof/>
          </w:rPr>
          <w:t>6.</w:t>
        </w:r>
        <w:r w:rsidR="00C37866">
          <w:rPr>
            <w:rFonts w:eastAsiaTheme="minorEastAsia" w:cstheme="minorBidi"/>
            <w:noProof/>
            <w:sz w:val="22"/>
            <w:szCs w:val="22"/>
          </w:rPr>
          <w:tab/>
        </w:r>
        <w:r w:rsidR="00C37866" w:rsidRPr="00337B3E">
          <w:rPr>
            <w:rStyle w:val="Hyperlink"/>
            <w:noProof/>
          </w:rPr>
          <w:t>Jährliche Überprüfung dieser Risikoanalyse</w:t>
        </w:r>
        <w:r w:rsidR="00C37866">
          <w:rPr>
            <w:noProof/>
            <w:webHidden/>
          </w:rPr>
          <w:tab/>
          <w:t>15</w:t>
        </w:r>
      </w:hyperlink>
    </w:p>
    <w:p w14:paraId="769B2FAF" w14:textId="4902A3BC" w:rsidR="00987A70" w:rsidRDefault="00192515">
      <w:pPr>
        <w:pStyle w:val="Verzeichnis3"/>
        <w:tabs>
          <w:tab w:val="left" w:pos="1701"/>
        </w:tabs>
        <w:rPr>
          <w:rFonts w:eastAsiaTheme="minorEastAsia" w:cstheme="minorBidi"/>
          <w:noProof/>
          <w:sz w:val="22"/>
          <w:szCs w:val="22"/>
        </w:rPr>
      </w:pPr>
      <w:hyperlink w:anchor="_Toc28008511" w:history="1">
        <w:r w:rsidR="00C37866" w:rsidRPr="00337B3E">
          <w:rPr>
            <w:rStyle w:val="Hyperlink"/>
            <w:noProof/>
          </w:rPr>
          <w:t>7.</w:t>
        </w:r>
        <w:r w:rsidR="00C37866">
          <w:rPr>
            <w:rFonts w:eastAsiaTheme="minorEastAsia" w:cstheme="minorBidi"/>
            <w:noProof/>
            <w:sz w:val="22"/>
            <w:szCs w:val="22"/>
          </w:rPr>
          <w:tab/>
        </w:r>
        <w:r w:rsidR="00C37866" w:rsidRPr="00337B3E">
          <w:rPr>
            <w:rStyle w:val="Hyperlink"/>
            <w:noProof/>
          </w:rPr>
          <w:t>Unabhängige Überprüfung der Grundsätze</w:t>
        </w:r>
        <w:r w:rsidR="00C37866">
          <w:rPr>
            <w:noProof/>
            <w:webHidden/>
          </w:rPr>
          <w:tab/>
          <w:t>15</w:t>
        </w:r>
      </w:hyperlink>
    </w:p>
    <w:p w14:paraId="3A814FC6" w14:textId="05502C81" w:rsidR="00987A70" w:rsidRDefault="00192515">
      <w:pPr>
        <w:pStyle w:val="Verzeichnis3"/>
        <w:tabs>
          <w:tab w:val="left" w:pos="1701"/>
        </w:tabs>
        <w:rPr>
          <w:rFonts w:eastAsiaTheme="minorEastAsia" w:cstheme="minorBidi"/>
          <w:noProof/>
          <w:sz w:val="22"/>
          <w:szCs w:val="22"/>
        </w:rPr>
      </w:pPr>
      <w:hyperlink w:anchor="_Toc28008512" w:history="1">
        <w:r w:rsidR="00C37866" w:rsidRPr="00337B3E">
          <w:rPr>
            <w:rStyle w:val="Hyperlink"/>
            <w:noProof/>
          </w:rPr>
          <w:t>8.</w:t>
        </w:r>
        <w:r w:rsidR="00C37866">
          <w:rPr>
            <w:rFonts w:eastAsiaTheme="minorEastAsia" w:cstheme="minorBidi"/>
            <w:noProof/>
            <w:sz w:val="22"/>
            <w:szCs w:val="22"/>
          </w:rPr>
          <w:tab/>
        </w:r>
        <w:r w:rsidR="00C37866" w:rsidRPr="00337B3E">
          <w:rPr>
            <w:rStyle w:val="Hyperlink"/>
            <w:noProof/>
          </w:rPr>
          <w:t>Meldepflichten</w:t>
        </w:r>
        <w:r w:rsidR="00C37866">
          <w:rPr>
            <w:noProof/>
            <w:webHidden/>
          </w:rPr>
          <w:tab/>
          <w:t>15</w:t>
        </w:r>
      </w:hyperlink>
    </w:p>
    <w:p w14:paraId="0DDE3ADF" w14:textId="6FC81618" w:rsidR="00987A70" w:rsidRDefault="00192515">
      <w:pPr>
        <w:pStyle w:val="Verzeichnis3"/>
        <w:tabs>
          <w:tab w:val="left" w:pos="1701"/>
        </w:tabs>
        <w:rPr>
          <w:rFonts w:eastAsiaTheme="minorEastAsia" w:cstheme="minorBidi"/>
          <w:noProof/>
          <w:sz w:val="22"/>
          <w:szCs w:val="22"/>
        </w:rPr>
      </w:pPr>
      <w:hyperlink w:anchor="_Toc28008513" w:history="1">
        <w:r w:rsidR="00C37866" w:rsidRPr="00337B3E">
          <w:rPr>
            <w:rStyle w:val="Hyperlink"/>
            <w:noProof/>
          </w:rPr>
          <w:t>9.</w:t>
        </w:r>
        <w:r w:rsidR="00C37866">
          <w:rPr>
            <w:rFonts w:eastAsiaTheme="minorEastAsia" w:cstheme="minorBidi"/>
            <w:noProof/>
            <w:sz w:val="22"/>
            <w:szCs w:val="22"/>
          </w:rPr>
          <w:tab/>
        </w:r>
        <w:r w:rsidR="00C37866" w:rsidRPr="00337B3E">
          <w:rPr>
            <w:rStyle w:val="Hyperlink"/>
            <w:noProof/>
          </w:rPr>
          <w:t>Aufzeichnungs- und Aufbewahrungspflichten</w:t>
        </w:r>
        <w:r w:rsidR="00C37866">
          <w:rPr>
            <w:noProof/>
            <w:webHidden/>
          </w:rPr>
          <w:tab/>
          <w:t>15</w:t>
        </w:r>
      </w:hyperlink>
    </w:p>
    <w:p w14:paraId="21852B9F" w14:textId="6A0490A0" w:rsidR="00987A70" w:rsidRDefault="00192515">
      <w:pPr>
        <w:pStyle w:val="Verzeichnis3"/>
        <w:tabs>
          <w:tab w:val="left" w:pos="1701"/>
        </w:tabs>
        <w:rPr>
          <w:rFonts w:eastAsiaTheme="minorEastAsia" w:cstheme="minorBidi"/>
          <w:noProof/>
          <w:sz w:val="22"/>
          <w:szCs w:val="22"/>
        </w:rPr>
      </w:pPr>
      <w:hyperlink w:anchor="_Toc28008514" w:history="1">
        <w:r w:rsidR="00C37866" w:rsidRPr="00337B3E">
          <w:rPr>
            <w:rStyle w:val="Hyperlink"/>
            <w:noProof/>
          </w:rPr>
          <w:t>10.</w:t>
        </w:r>
        <w:r w:rsidR="00C37866">
          <w:rPr>
            <w:rFonts w:eastAsiaTheme="minorEastAsia" w:cstheme="minorBidi"/>
            <w:noProof/>
            <w:sz w:val="22"/>
            <w:szCs w:val="22"/>
          </w:rPr>
          <w:tab/>
        </w:r>
        <w:r w:rsidR="00C37866" w:rsidRPr="00337B3E">
          <w:rPr>
            <w:rStyle w:val="Hyperlink"/>
            <w:noProof/>
          </w:rPr>
          <w:t>Meldestelle bei Verstößen</w:t>
        </w:r>
        <w:r w:rsidR="00C37866">
          <w:rPr>
            <w:noProof/>
            <w:webHidden/>
          </w:rPr>
          <w:tab/>
          <w:t>16</w:t>
        </w:r>
      </w:hyperlink>
    </w:p>
    <w:p w14:paraId="0CE7257E" w14:textId="4C2D3858" w:rsidR="00987A70" w:rsidRDefault="00192515">
      <w:pPr>
        <w:pStyle w:val="Verzeichnis2"/>
        <w:tabs>
          <w:tab w:val="left" w:pos="1134"/>
        </w:tabs>
        <w:rPr>
          <w:rFonts w:eastAsiaTheme="minorEastAsia" w:cstheme="minorBidi"/>
          <w:noProof/>
          <w:sz w:val="22"/>
          <w:szCs w:val="22"/>
        </w:rPr>
      </w:pPr>
      <w:hyperlink w:anchor="_Toc28008515" w:history="1">
        <w:r w:rsidR="00C37866" w:rsidRPr="00337B3E">
          <w:rPr>
            <w:rStyle w:val="Hyperlink"/>
            <w:noProof/>
          </w:rPr>
          <w:t>V.</w:t>
        </w:r>
        <w:r w:rsidR="00C37866">
          <w:rPr>
            <w:rFonts w:eastAsiaTheme="minorEastAsia" w:cstheme="minorBidi"/>
            <w:noProof/>
            <w:sz w:val="22"/>
            <w:szCs w:val="22"/>
          </w:rPr>
          <w:tab/>
        </w:r>
        <w:r w:rsidR="00C37866" w:rsidRPr="00337B3E">
          <w:rPr>
            <w:rStyle w:val="Hyperlink"/>
            <w:noProof/>
          </w:rPr>
          <w:t>Ansprechpartner / Geldwäschebeauftragter</w:t>
        </w:r>
        <w:r w:rsidR="00C37866">
          <w:rPr>
            <w:noProof/>
            <w:webHidden/>
          </w:rPr>
          <w:tab/>
          <w:t>16</w:t>
        </w:r>
      </w:hyperlink>
    </w:p>
    <w:p w14:paraId="56674862" w14:textId="6D52E8B3" w:rsidR="00AF4A98" w:rsidRPr="00531E5F" w:rsidRDefault="00AF4A98" w:rsidP="00362032">
      <w:pPr>
        <w:spacing w:after="200" w:line="360" w:lineRule="auto"/>
        <w:jc w:val="both"/>
      </w:pPr>
      <w:r w:rsidRPr="00531E5F">
        <w:fldChar w:fldCharType="end"/>
      </w:r>
    </w:p>
    <w:p w14:paraId="5350AE84" w14:textId="77777777" w:rsidR="00AF4A98" w:rsidRPr="00522144" w:rsidRDefault="00AF4A98" w:rsidP="005B5A00">
      <w:pPr>
        <w:spacing w:after="120"/>
        <w:jc w:val="both"/>
      </w:pPr>
    </w:p>
    <w:p w14:paraId="5943F2C4" w14:textId="77777777" w:rsidR="00522144" w:rsidRDefault="00522144" w:rsidP="005B5A00">
      <w:pPr>
        <w:suppressAutoHyphens w:val="0"/>
        <w:adjustRightInd/>
        <w:snapToGrid/>
        <w:jc w:val="both"/>
      </w:pPr>
      <w:r>
        <w:br w:type="page"/>
      </w:r>
    </w:p>
    <w:p w14:paraId="1EC529DD" w14:textId="64308A25" w:rsidR="00B5426C" w:rsidRDefault="002A04AD" w:rsidP="005B5A00">
      <w:pPr>
        <w:pStyle w:val="CMSHeading2"/>
        <w:jc w:val="both"/>
        <w:rPr>
          <w:color w:val="002060"/>
          <w:sz w:val="28"/>
          <w:szCs w:val="28"/>
        </w:rPr>
      </w:pPr>
      <w:bookmarkStart w:id="0" w:name="_Toc28008491"/>
      <w:r>
        <w:rPr>
          <w:color w:val="002060"/>
          <w:sz w:val="28"/>
          <w:szCs w:val="28"/>
        </w:rPr>
        <w:lastRenderedPageBreak/>
        <w:t>Rechtsgrundlage</w:t>
      </w:r>
      <w:bookmarkEnd w:id="0"/>
      <w:r w:rsidR="00FF1924">
        <w:rPr>
          <w:color w:val="002060"/>
          <w:sz w:val="28"/>
          <w:szCs w:val="28"/>
        </w:rPr>
        <w:t>n</w:t>
      </w:r>
    </w:p>
    <w:p w14:paraId="6935989F" w14:textId="77777777" w:rsidR="001B2F6B" w:rsidRPr="009D6402" w:rsidRDefault="001B2F6B" w:rsidP="005B5A00">
      <w:pPr>
        <w:pStyle w:val="CMSIndent2"/>
        <w:jc w:val="both"/>
      </w:pPr>
    </w:p>
    <w:p w14:paraId="01CDC452" w14:textId="1DA3642A" w:rsidR="00DB7DE2" w:rsidRDefault="00E7182E" w:rsidP="00ED73E5">
      <w:pPr>
        <w:pStyle w:val="CMSIndent2"/>
        <w:ind w:left="567"/>
        <w:jc w:val="both"/>
      </w:pPr>
      <w:r>
        <w:t xml:space="preserve">Ausgangspunkt </w:t>
      </w:r>
      <w:r w:rsidR="00903B7C">
        <w:t xml:space="preserve">für die Erstellung dieser Risikoanalyse </w:t>
      </w:r>
      <w:r>
        <w:t>ist d</w:t>
      </w:r>
      <w:r w:rsidR="00FF1924">
        <w:t xml:space="preserve">as </w:t>
      </w:r>
      <w:r w:rsidR="00FF1924" w:rsidRPr="00FF1924">
        <w:t>Gesetz über das Aufspüren von Gewinnen aus schweren Straftaten</w:t>
      </w:r>
      <w:r w:rsidR="00FF1924">
        <w:t xml:space="preserve"> (Geldwäschegesetz, nachfolgend „GwG“) in der Fassung vom 23.11.2023.</w:t>
      </w:r>
    </w:p>
    <w:p w14:paraId="05334712" w14:textId="5A3DA7DA" w:rsidR="002C4DA1" w:rsidRDefault="002C4DA1" w:rsidP="00E541CA"/>
    <w:p w14:paraId="5F114D8D" w14:textId="08A93975" w:rsidR="00D93E5D" w:rsidRDefault="00FF1924" w:rsidP="00741C10">
      <w:pPr>
        <w:pStyle w:val="CMSIndent2"/>
        <w:spacing w:after="120"/>
        <w:ind w:left="567"/>
        <w:jc w:val="both"/>
      </w:pPr>
      <w:r>
        <w:t xml:space="preserve">Gem. </w:t>
      </w:r>
      <w:r w:rsidR="0041303E">
        <w:t xml:space="preserve">§ 5 </w:t>
      </w:r>
      <w:r w:rsidR="005C1568">
        <w:t xml:space="preserve">Abs. 1 </w:t>
      </w:r>
      <w:r w:rsidR="0041303E">
        <w:t>GwG</w:t>
      </w:r>
      <w:r w:rsidR="00E7182E">
        <w:t xml:space="preserve"> </w:t>
      </w:r>
      <w:r>
        <w:t>haben die Verpflichteten gem. § 2 GwG</w:t>
      </w:r>
      <w:r w:rsidRPr="00FF1924">
        <w:t xml:space="preserve"> diejenigen Risiken der Geldwäsche und der Terrorismusfinanzierung zu ermitteln und zu bewerten, die für Geschäfte bestehen, die von ihnen betrieben werden. Dabei haben sie insbesondere die in den Anlagen 1 und 2 genannten Risikofaktoren sowie die Informationen, die auf Grundlage der nationalen Risikoanalyse zur Verfügung gestellt werden, zu berücksichtigen. </w:t>
      </w:r>
      <w:r w:rsidR="00662BED">
        <w:br w:type="textWrapping" w:clear="all"/>
      </w:r>
      <w:r w:rsidRPr="00FF1924">
        <w:t>Der Umfang der Risikoanalyse richtet sich nach Art und Umfang der Geschäftstätigkeit der Verpflichteten.</w:t>
      </w:r>
    </w:p>
    <w:p w14:paraId="49B8B59A" w14:textId="677D00DE" w:rsidR="00407737" w:rsidRDefault="00407737" w:rsidP="00741C10">
      <w:pPr>
        <w:pStyle w:val="CMSIndent2"/>
        <w:spacing w:after="120"/>
        <w:ind w:left="567"/>
        <w:jc w:val="both"/>
      </w:pPr>
      <w:r>
        <w:t>Die Risikoanalyse ist Teil des Risikomanagements (§ 4 GwG). Aus der Risikoanalyse leiten sich die vom Verpflichteten durchzuführenden internen Sicherungsmaßnahmen nach § 6 GwG ab.</w:t>
      </w:r>
    </w:p>
    <w:p w14:paraId="7129B435" w14:textId="7BE2D265" w:rsidR="00FD6065" w:rsidRDefault="00FF1924" w:rsidP="00650A8B">
      <w:pPr>
        <w:pStyle w:val="CMSIndent2"/>
        <w:spacing w:after="120"/>
        <w:ind w:left="567"/>
        <w:jc w:val="both"/>
      </w:pPr>
      <w:r w:rsidRPr="00FF1924">
        <w:t>Rechtsanwältinnen und Rechtsanwälte</w:t>
      </w:r>
      <w:r w:rsidR="00407737">
        <w:t xml:space="preserve"> (einschließlich </w:t>
      </w:r>
      <w:proofErr w:type="spellStart"/>
      <w:r w:rsidR="00407737">
        <w:t>Syndikusrechtsanwält</w:t>
      </w:r>
      <w:r w:rsidR="00650A8B">
        <w:t>innen</w:t>
      </w:r>
      <w:proofErr w:type="spellEnd"/>
      <w:r w:rsidR="00650A8B">
        <w:t xml:space="preserve"> und Syndikusrechts</w:t>
      </w:r>
      <w:r w:rsidR="00DF5A19">
        <w:t>a</w:t>
      </w:r>
      <w:r w:rsidR="00650A8B">
        <w:t>nwälte</w:t>
      </w:r>
      <w:r w:rsidR="00407737">
        <w:t>)</w:t>
      </w:r>
      <w:r w:rsidRPr="00FF1924">
        <w:t xml:space="preserve"> sind ‚Verpflichtete‘ nach dem G</w:t>
      </w:r>
      <w:r>
        <w:t>wG</w:t>
      </w:r>
      <w:r w:rsidR="00650A8B">
        <w:t>,</w:t>
      </w:r>
      <w:r>
        <w:t xml:space="preserve"> </w:t>
      </w:r>
      <w:r w:rsidRPr="00FF1924">
        <w:t>soweit sie eine oder mehrere der in § 2 Abs. 1 Nr. 10 GwG abschließend aufgeführten Katalogtätigkeiten ausüben.</w:t>
      </w:r>
      <w:r>
        <w:t xml:space="preserve"> </w:t>
      </w:r>
      <w:r w:rsidRPr="00FF1924">
        <w:t xml:space="preserve">Darunter fällt die Mitwirkung an den in § 2 Abs. 1 Nr. 10 </w:t>
      </w:r>
      <w:proofErr w:type="spellStart"/>
      <w:r w:rsidRPr="00FF1924">
        <w:t>lit</w:t>
      </w:r>
      <w:proofErr w:type="spellEnd"/>
      <w:r w:rsidRPr="00FF1924">
        <w:t>. a) GwG aufgeführten so genannten „</w:t>
      </w:r>
      <w:r w:rsidRPr="00E541CA">
        <w:rPr>
          <w:b/>
          <w:bCs/>
        </w:rPr>
        <w:t>Kataloggeschäften</w:t>
      </w:r>
      <w:r w:rsidRPr="00FF1924">
        <w:t>“</w:t>
      </w:r>
      <w:r w:rsidR="00650A8B">
        <w:t>, namentlich</w:t>
      </w:r>
      <w:r w:rsidRPr="00FF1924">
        <w:t xml:space="preserve"> </w:t>
      </w:r>
      <w:r w:rsidR="00650A8B" w:rsidRPr="00EA1EF5">
        <w:t>Kauf und Verkauf von Immobilien oder Gewerbebetrieben</w:t>
      </w:r>
      <w:r w:rsidR="00650A8B">
        <w:t xml:space="preserve"> [</w:t>
      </w:r>
      <w:proofErr w:type="spellStart"/>
      <w:r w:rsidR="00650A8B">
        <w:t>lit</w:t>
      </w:r>
      <w:proofErr w:type="spellEnd"/>
      <w:r w:rsidR="00650A8B">
        <w:t xml:space="preserve">. </w:t>
      </w:r>
      <w:proofErr w:type="spellStart"/>
      <w:r w:rsidR="00650A8B">
        <w:t>a</w:t>
      </w:r>
      <w:r w:rsidR="00650A8B" w:rsidRPr="00EA1EF5">
        <w:t>a</w:t>
      </w:r>
      <w:proofErr w:type="spellEnd"/>
      <w:r w:rsidR="00650A8B" w:rsidRPr="00EA1EF5">
        <w:t>)</w:t>
      </w:r>
      <w:r w:rsidR="00650A8B">
        <w:t xml:space="preserve">], </w:t>
      </w:r>
      <w:r w:rsidR="00650A8B" w:rsidRPr="00EA1EF5">
        <w:t>Verwaltung von Geld, Wertpapieren oder sonstigen Vermögenswerten</w:t>
      </w:r>
      <w:r w:rsidR="00650A8B">
        <w:t xml:space="preserve"> </w:t>
      </w:r>
      <w:proofErr w:type="spellStart"/>
      <w:r w:rsidR="00650A8B">
        <w:t>lit</w:t>
      </w:r>
      <w:proofErr w:type="spellEnd"/>
      <w:r w:rsidR="00650A8B">
        <w:t xml:space="preserve">. </w:t>
      </w:r>
      <w:proofErr w:type="spellStart"/>
      <w:r w:rsidR="00650A8B">
        <w:t>bb</w:t>
      </w:r>
      <w:proofErr w:type="spellEnd"/>
      <w:r w:rsidR="00650A8B" w:rsidRPr="00EA1EF5">
        <w:t>)</w:t>
      </w:r>
      <w:r w:rsidR="00650A8B">
        <w:t>]</w:t>
      </w:r>
      <w:r w:rsidR="00650A8B" w:rsidRPr="00EA1EF5">
        <w:t>,</w:t>
      </w:r>
      <w:r w:rsidR="00650A8B">
        <w:t xml:space="preserve"> </w:t>
      </w:r>
      <w:r w:rsidR="00650A8B" w:rsidRPr="00EA1EF5">
        <w:t>Eröffnung oder Verwaltung von Bank-, Spar- oder Wertpapierkonten</w:t>
      </w:r>
      <w:r w:rsidR="00650A8B">
        <w:t xml:space="preserve"> [</w:t>
      </w:r>
      <w:proofErr w:type="spellStart"/>
      <w:r w:rsidR="00650A8B">
        <w:t>lit</w:t>
      </w:r>
      <w:proofErr w:type="spellEnd"/>
      <w:r w:rsidR="00650A8B">
        <w:t>. cc</w:t>
      </w:r>
      <w:r w:rsidR="00650A8B" w:rsidRPr="00EA1EF5">
        <w:t>)</w:t>
      </w:r>
      <w:r w:rsidR="00650A8B">
        <w:t>]</w:t>
      </w:r>
      <w:r w:rsidR="00650A8B" w:rsidRPr="00EA1EF5">
        <w:t>,</w:t>
      </w:r>
      <w:r w:rsidR="00650A8B">
        <w:t xml:space="preserve"> </w:t>
      </w:r>
      <w:r w:rsidR="00650A8B" w:rsidRPr="00EA1EF5">
        <w:t>Beschaffung der zur Gründung, zum Betrieb oder zur Verwaltung von Gesellschaften erforderlichen Mittel</w:t>
      </w:r>
      <w:r w:rsidR="00650A8B">
        <w:t xml:space="preserve"> [</w:t>
      </w:r>
      <w:proofErr w:type="spellStart"/>
      <w:r w:rsidR="00650A8B">
        <w:t>lit</w:t>
      </w:r>
      <w:proofErr w:type="spellEnd"/>
      <w:r w:rsidR="00650A8B">
        <w:t xml:space="preserve">. </w:t>
      </w:r>
      <w:proofErr w:type="spellStart"/>
      <w:r w:rsidR="00650A8B">
        <w:t>dd</w:t>
      </w:r>
      <w:proofErr w:type="spellEnd"/>
      <w:r w:rsidR="00650A8B" w:rsidRPr="00EA1EF5">
        <w:t>)</w:t>
      </w:r>
      <w:r w:rsidR="00650A8B">
        <w:t xml:space="preserve">] und </w:t>
      </w:r>
      <w:r w:rsidR="00650A8B" w:rsidRPr="00EA1EF5">
        <w:t>Gründung, Betrieb oder Verwaltung von Treuhandgesellschaften, Gesellschaften oder ähnlichen Strukturen</w:t>
      </w:r>
      <w:r w:rsidR="00650A8B">
        <w:t xml:space="preserve"> </w:t>
      </w:r>
      <w:r w:rsidR="00C704DD">
        <w:br w:type="textWrapping" w:clear="all"/>
      </w:r>
      <w:r w:rsidR="00650A8B">
        <w:t>[</w:t>
      </w:r>
      <w:proofErr w:type="spellStart"/>
      <w:r w:rsidR="00650A8B">
        <w:t>lit</w:t>
      </w:r>
      <w:proofErr w:type="spellEnd"/>
      <w:r w:rsidR="00650A8B">
        <w:t xml:space="preserve">. </w:t>
      </w:r>
      <w:proofErr w:type="spellStart"/>
      <w:r w:rsidR="00650A8B">
        <w:t>ee</w:t>
      </w:r>
      <w:proofErr w:type="spellEnd"/>
      <w:r w:rsidR="00650A8B" w:rsidRPr="00EA1EF5">
        <w:t>)</w:t>
      </w:r>
      <w:r w:rsidR="00650A8B">
        <w:t>] sowie die Mitwirkung a</w:t>
      </w:r>
      <w:r w:rsidR="00C704DD">
        <w:t>n</w:t>
      </w:r>
      <w:r w:rsidR="00650A8B">
        <w:t xml:space="preserve"> den in </w:t>
      </w:r>
      <w:r w:rsidR="00650A8B" w:rsidRPr="00FF1924">
        <w:t>§ 2</w:t>
      </w:r>
      <w:r w:rsidR="00650A8B">
        <w:t xml:space="preserve"> </w:t>
      </w:r>
      <w:r w:rsidR="00650A8B" w:rsidRPr="00FF1924">
        <w:t xml:space="preserve">Abs. 1 Nr. 10 </w:t>
      </w:r>
      <w:proofErr w:type="spellStart"/>
      <w:r w:rsidR="00650A8B" w:rsidRPr="00FF1924">
        <w:t>lit</w:t>
      </w:r>
      <w:proofErr w:type="spellEnd"/>
      <w:r w:rsidR="00650A8B" w:rsidRPr="00FF1924">
        <w:t>. b) bis e)</w:t>
      </w:r>
      <w:r w:rsidR="00650A8B">
        <w:t xml:space="preserve"> </w:t>
      </w:r>
      <w:r w:rsidR="00650A8B" w:rsidRPr="00FF1924">
        <w:t>GwG</w:t>
      </w:r>
      <w:r w:rsidR="00650A8B">
        <w:t xml:space="preserve"> aufgeführten </w:t>
      </w:r>
      <w:r w:rsidRPr="00FF1924">
        <w:t>„</w:t>
      </w:r>
      <w:r w:rsidRPr="00E541CA">
        <w:rPr>
          <w:b/>
          <w:bCs/>
        </w:rPr>
        <w:t>Katalogtätigkeiten</w:t>
      </w:r>
      <w:r w:rsidRPr="00FF1924">
        <w:t>“</w:t>
      </w:r>
      <w:r w:rsidR="00650A8B">
        <w:t>,</w:t>
      </w:r>
      <w:r w:rsidR="00C704DD">
        <w:t xml:space="preserve"> n</w:t>
      </w:r>
      <w:r w:rsidR="00650A8B">
        <w:t>amentlich</w:t>
      </w:r>
      <w:r w:rsidRPr="00FF1924">
        <w:t xml:space="preserve"> die Durchführung von Finanz- oder Immobilientransaktionen im Namen und auf Rechnung des Mandanten </w:t>
      </w:r>
      <w:r w:rsidR="00650A8B">
        <w:t>[</w:t>
      </w:r>
      <w:proofErr w:type="spellStart"/>
      <w:r w:rsidRPr="00FF1924">
        <w:t>lit</w:t>
      </w:r>
      <w:proofErr w:type="spellEnd"/>
      <w:r w:rsidRPr="00FF1924">
        <w:t>. b)</w:t>
      </w:r>
      <w:r w:rsidR="00650A8B">
        <w:t>]</w:t>
      </w:r>
      <w:r w:rsidRPr="00FF1924">
        <w:t xml:space="preserve">, die Beratung des Mandanten im Hinblick auf dessen Kapitalstruktur, dessen industrielle Strategie oder damit verbundene Fragen </w:t>
      </w:r>
      <w:r w:rsidR="00650A8B">
        <w:t>[</w:t>
      </w:r>
      <w:proofErr w:type="spellStart"/>
      <w:r w:rsidRPr="00FF1924">
        <w:t>lit</w:t>
      </w:r>
      <w:proofErr w:type="spellEnd"/>
      <w:r w:rsidRPr="00FF1924">
        <w:t>. c)</w:t>
      </w:r>
      <w:r w:rsidR="00650A8B">
        <w:t>]</w:t>
      </w:r>
      <w:r w:rsidRPr="00FF1924">
        <w:t xml:space="preserve">, Beratungen oder Dienstleistungen im Zusammenhang mit Zusammenschlüssen oder Übernahmen </w:t>
      </w:r>
      <w:r w:rsidR="00650A8B">
        <w:t>[</w:t>
      </w:r>
      <w:proofErr w:type="spellStart"/>
      <w:r w:rsidRPr="00FF1924">
        <w:t>lit</w:t>
      </w:r>
      <w:proofErr w:type="spellEnd"/>
      <w:r w:rsidRPr="00FF1924">
        <w:t>. d)</w:t>
      </w:r>
      <w:r w:rsidR="00650A8B">
        <w:t>]</w:t>
      </w:r>
      <w:r w:rsidRPr="00FF1924">
        <w:t xml:space="preserve"> sowie die geschäftsmäßige Hilfeleistung in Steuersachen </w:t>
      </w:r>
      <w:r w:rsidR="00650A8B">
        <w:t>[</w:t>
      </w:r>
      <w:proofErr w:type="spellStart"/>
      <w:r w:rsidRPr="00FF1924">
        <w:t>lit</w:t>
      </w:r>
      <w:proofErr w:type="spellEnd"/>
      <w:r w:rsidRPr="00FF1924">
        <w:t>. e)</w:t>
      </w:r>
      <w:r w:rsidR="00650A8B">
        <w:t>]</w:t>
      </w:r>
      <w:r w:rsidRPr="00FF1924">
        <w:t>.</w:t>
      </w:r>
      <w:r w:rsidR="00FD6065">
        <w:rPr>
          <w:rStyle w:val="Funotenzeichen"/>
        </w:rPr>
        <w:footnoteReference w:id="1"/>
      </w:r>
    </w:p>
    <w:p w14:paraId="4B0D761E" w14:textId="4A6831DA" w:rsidR="00FD6065" w:rsidRDefault="00FD6065" w:rsidP="00387C48">
      <w:pPr>
        <w:pStyle w:val="CMSIndent2"/>
        <w:spacing w:after="120"/>
        <w:ind w:left="564"/>
        <w:jc w:val="both"/>
      </w:pPr>
      <w:r w:rsidRPr="00FD6065">
        <w:t xml:space="preserve">Die Verhinderung und Bekämpfung von Geldwäsche und Terrorismusfinanzierung nach den Anforderungen </w:t>
      </w:r>
      <w:r>
        <w:t>des GwG</w:t>
      </w:r>
      <w:r w:rsidRPr="00FD6065">
        <w:t xml:space="preserve"> folgt einem risikobasierten Ansatz</w:t>
      </w:r>
      <w:r>
        <w:t xml:space="preserve"> (§ 3a Abs. 1 GwG)</w:t>
      </w:r>
      <w:r w:rsidRPr="00FD6065">
        <w:t>.</w:t>
      </w:r>
      <w:r w:rsidRPr="006F1C5F" w:rsidDel="00FF1924">
        <w:rPr>
          <w:i/>
        </w:rPr>
        <w:t xml:space="preserve"> </w:t>
      </w:r>
      <w:r w:rsidR="00662BED">
        <w:rPr>
          <w:i/>
        </w:rPr>
        <w:br w:type="textWrapping" w:clear="all"/>
      </w:r>
      <w:r w:rsidR="007E0207">
        <w:t>Das GwG enthält</w:t>
      </w:r>
      <w:r w:rsidR="007E0207" w:rsidRPr="00461407">
        <w:t xml:space="preserve"> </w:t>
      </w:r>
      <w:r w:rsidR="00461407" w:rsidRPr="00461407">
        <w:t xml:space="preserve">diverse Regelungen, die von den </w:t>
      </w:r>
      <w:r w:rsidR="00461407">
        <w:t>V</w:t>
      </w:r>
      <w:r w:rsidR="00461407" w:rsidRPr="00461407">
        <w:t xml:space="preserve">erpflichteten jeweils „risikoorientiertes“ oder „angemessenes“ Handeln verlangen. </w:t>
      </w:r>
    </w:p>
    <w:p w14:paraId="3CB0348E" w14:textId="29E1808D" w:rsidR="00227BF6" w:rsidRDefault="00461407" w:rsidP="00387C48">
      <w:pPr>
        <w:pStyle w:val="CMSIndent2"/>
        <w:spacing w:after="120"/>
        <w:ind w:left="564"/>
        <w:jc w:val="both"/>
      </w:pPr>
      <w:r w:rsidRPr="00461407">
        <w:t xml:space="preserve">Damit wird den </w:t>
      </w:r>
      <w:r>
        <w:t>Verpflichteten</w:t>
      </w:r>
      <w:r w:rsidRPr="00461407">
        <w:t xml:space="preserve"> per Gesetz in bestimmten Fällen ein eigener Beurteilungsspielraum zugestanden, welche Maßnahmen sie selbst als sachgerecht und zweckdienlich erachten, um sich in ihrer individuellen Situation vor Geldwäschehandlungen oder Terrorismusfinanzierung zu schützen.</w:t>
      </w:r>
      <w:r>
        <w:t xml:space="preserve"> </w:t>
      </w:r>
    </w:p>
    <w:p w14:paraId="62A088B1" w14:textId="22D83A60" w:rsidR="005C1568" w:rsidRDefault="007E0C76" w:rsidP="006F1C5F">
      <w:pPr>
        <w:pStyle w:val="CMSIndent2"/>
        <w:spacing w:after="120"/>
        <w:ind w:left="567"/>
        <w:jc w:val="both"/>
      </w:pPr>
      <w:r>
        <w:rPr>
          <w:i/>
        </w:rPr>
        <w:t>Beispielsfrau &amp; Mustermann</w:t>
      </w:r>
      <w:r w:rsidR="00156957" w:rsidRPr="00964329">
        <w:rPr>
          <w:i/>
        </w:rPr>
        <w:t xml:space="preserve"> </w:t>
      </w:r>
      <w:r>
        <w:rPr>
          <w:i/>
        </w:rPr>
        <w:t>Rechtsanwälte</w:t>
      </w:r>
      <w:r w:rsidR="00156957" w:rsidRPr="00964329">
        <w:rPr>
          <w:i/>
        </w:rPr>
        <w:t xml:space="preserve"> </w:t>
      </w:r>
      <w:r>
        <w:rPr>
          <w:i/>
        </w:rPr>
        <w:t>Partnerschaft</w:t>
      </w:r>
      <w:r w:rsidR="00180621">
        <w:rPr>
          <w:i/>
        </w:rPr>
        <w:t xml:space="preserve"> </w:t>
      </w:r>
      <w:r w:rsidR="005D484D">
        <w:t xml:space="preserve">bekennt sich zur umfassenden Geldwäsche-Compliance und zur Einhaltung sämtlicher nationaler und internationaler berufsrechtlichen Vorgaben. </w:t>
      </w:r>
      <w:r w:rsidR="00461407">
        <w:t xml:space="preserve">Um </w:t>
      </w:r>
      <w:r w:rsidR="005D484D">
        <w:t xml:space="preserve">dem </w:t>
      </w:r>
      <w:r w:rsidR="00461407">
        <w:t xml:space="preserve">individuellen Risiko Rechnung zu tragen, </w:t>
      </w:r>
      <w:r w:rsidR="00662BED">
        <w:br w:type="textWrapping" w:clear="all"/>
      </w:r>
      <w:r w:rsidR="004679CD">
        <w:lastRenderedPageBreak/>
        <w:t>hat</w:t>
      </w:r>
      <w:r w:rsidR="00662BED">
        <w:rPr>
          <w:i/>
        </w:rPr>
        <w:t xml:space="preserve"> </w:t>
      </w:r>
      <w:r>
        <w:rPr>
          <w:i/>
        </w:rPr>
        <w:t>Beispielsfrau &amp; Mustermann</w:t>
      </w:r>
      <w:r w:rsidR="00156957" w:rsidRPr="00964329">
        <w:rPr>
          <w:i/>
        </w:rPr>
        <w:t xml:space="preserve"> </w:t>
      </w:r>
      <w:r>
        <w:rPr>
          <w:i/>
        </w:rPr>
        <w:t>Rechtsanwälte</w:t>
      </w:r>
      <w:r w:rsidR="00156957" w:rsidRPr="00964329">
        <w:rPr>
          <w:i/>
        </w:rPr>
        <w:t xml:space="preserve"> </w:t>
      </w:r>
      <w:r>
        <w:rPr>
          <w:i/>
        </w:rPr>
        <w:t>Partnerschaft</w:t>
      </w:r>
      <w:r w:rsidR="00156957">
        <w:rPr>
          <w:i/>
        </w:rPr>
        <w:t xml:space="preserve"> ("</w:t>
      </w:r>
      <w:r>
        <w:rPr>
          <w:i/>
        </w:rPr>
        <w:t>Beispielsfrau &amp; Mustermann</w:t>
      </w:r>
      <w:r w:rsidR="00156957">
        <w:rPr>
          <w:i/>
        </w:rPr>
        <w:t xml:space="preserve">") </w:t>
      </w:r>
      <w:r w:rsidR="004679CD">
        <w:t>die nachfolgende Risikoanalyse erstellt</w:t>
      </w:r>
      <w:r w:rsidR="007E6D42" w:rsidRPr="0066681A">
        <w:t>.</w:t>
      </w:r>
      <w:r w:rsidR="00943978" w:rsidRPr="0066681A">
        <w:t xml:space="preserve"> </w:t>
      </w:r>
      <w:r w:rsidR="007B7BF8">
        <w:t xml:space="preserve">Diese wird </w:t>
      </w:r>
      <w:r w:rsidR="00903B7C">
        <w:t xml:space="preserve">gemäß § 5 Abs. 2 Nr. 2 GwG </w:t>
      </w:r>
      <w:r w:rsidR="005D484D">
        <w:t>regelmäßig überprüft und ggfs. aktualisiert.</w:t>
      </w:r>
    </w:p>
    <w:p w14:paraId="6553EE7B" w14:textId="451925B6" w:rsidR="00FD6065" w:rsidRDefault="00FD6065" w:rsidP="00407737">
      <w:pPr>
        <w:pStyle w:val="CMSIndent2"/>
        <w:spacing w:after="120"/>
        <w:ind w:left="567"/>
        <w:jc w:val="both"/>
      </w:pPr>
      <w:r>
        <w:t xml:space="preserve">Die Risikoanalyse gem. § 5 GwG ersetzt nicht die für jedes Mandat </w:t>
      </w:r>
      <w:r w:rsidR="00B70C61">
        <w:t xml:space="preserve">im Rahmen der Sorgfaltspflichten (§§ 10 ff. GwG) gesondert </w:t>
      </w:r>
      <w:r>
        <w:t xml:space="preserve">zu erstellende </w:t>
      </w:r>
      <w:r w:rsidR="00C40C7F">
        <w:t xml:space="preserve">konkrete </w:t>
      </w:r>
      <w:r>
        <w:t>Risikobewertung</w:t>
      </w:r>
      <w:r w:rsidR="00C40C7F">
        <w:t xml:space="preserve"> im Einzelfall</w:t>
      </w:r>
      <w:r>
        <w:t xml:space="preserve"> gem. § 10 Abs. 2 GwG</w:t>
      </w:r>
      <w:r w:rsidR="00B70C61">
        <w:t xml:space="preserve"> </w:t>
      </w:r>
      <w:proofErr w:type="spellStart"/>
      <w:r w:rsidR="00B70C61">
        <w:t>i.V.m</w:t>
      </w:r>
      <w:proofErr w:type="spellEnd"/>
      <w:r w:rsidR="00B70C61">
        <w:t>. § 8 Abs. 1 Nr. 2 GwG</w:t>
      </w:r>
      <w:r>
        <w:t>.</w:t>
      </w:r>
    </w:p>
    <w:p w14:paraId="6BEDC07F" w14:textId="77777777" w:rsidR="00B70C61" w:rsidRDefault="00B70C61" w:rsidP="00407737">
      <w:pPr>
        <w:pStyle w:val="CMSIndent2"/>
        <w:spacing w:after="120"/>
        <w:ind w:left="567"/>
        <w:jc w:val="both"/>
      </w:pPr>
    </w:p>
    <w:p w14:paraId="03E6DA30" w14:textId="662C80B7" w:rsidR="00461407" w:rsidRDefault="0041303E" w:rsidP="00461407">
      <w:pPr>
        <w:pStyle w:val="CMSHeading2"/>
        <w:jc w:val="both"/>
        <w:rPr>
          <w:color w:val="002060"/>
          <w:sz w:val="28"/>
          <w:szCs w:val="28"/>
        </w:rPr>
      </w:pPr>
      <w:bookmarkStart w:id="1" w:name="_Toc28008492"/>
      <w:r>
        <w:rPr>
          <w:color w:val="002060"/>
          <w:sz w:val="28"/>
          <w:szCs w:val="28"/>
        </w:rPr>
        <w:t>Faktoren der Risikoanalyse</w:t>
      </w:r>
      <w:bookmarkEnd w:id="1"/>
    </w:p>
    <w:p w14:paraId="3487A5BD" w14:textId="77777777" w:rsidR="002A3D47" w:rsidRDefault="002A3D47" w:rsidP="006F1C5F">
      <w:pPr>
        <w:pStyle w:val="CMSIndent2"/>
      </w:pPr>
    </w:p>
    <w:p w14:paraId="52EE0213" w14:textId="40ACB543" w:rsidR="002A3D47" w:rsidRDefault="002A3D47" w:rsidP="00ED73E5">
      <w:pPr>
        <w:pStyle w:val="CMSIndent2"/>
        <w:ind w:left="567"/>
        <w:jc w:val="both"/>
      </w:pPr>
      <w:r>
        <w:t xml:space="preserve">Für die Risikoanalyse </w:t>
      </w:r>
      <w:r w:rsidR="004071BF">
        <w:t>werden</w:t>
      </w:r>
      <w:r>
        <w:t xml:space="preserve"> mit Blick auf §§ </w:t>
      </w:r>
      <w:r w:rsidR="00407737">
        <w:t xml:space="preserve">3a, </w:t>
      </w:r>
      <w:r>
        <w:t>4, 5 GwG und A</w:t>
      </w:r>
      <w:r w:rsidR="00CA279D">
        <w:t>nlagen 1 und 2 zum GwG die folgende</w:t>
      </w:r>
      <w:r w:rsidR="002A04AD">
        <w:t xml:space="preserve">n </w:t>
      </w:r>
      <w:r>
        <w:t xml:space="preserve">Faktoren berücksichtigt </w:t>
      </w:r>
      <w:r w:rsidR="00CA279D">
        <w:t>und jeweils einzeln, unabhängig</w:t>
      </w:r>
      <w:r w:rsidR="00903B7C">
        <w:t xml:space="preserve"> </w:t>
      </w:r>
      <w:r w:rsidR="00CA279D">
        <w:t>voneinander, bewertet</w:t>
      </w:r>
      <w:r>
        <w:t>:</w:t>
      </w:r>
    </w:p>
    <w:p w14:paraId="215E072F" w14:textId="77777777" w:rsidR="00F2294B" w:rsidRPr="006F1C5F" w:rsidRDefault="00F2294B" w:rsidP="006F1C5F">
      <w:pPr>
        <w:pStyle w:val="CMSIndent2"/>
        <w:ind w:left="567"/>
      </w:pPr>
    </w:p>
    <w:p w14:paraId="6AE7DBDA" w14:textId="1D4FE991" w:rsidR="001C1AD5" w:rsidRPr="00531E5F" w:rsidRDefault="009A03FF" w:rsidP="00531E5F">
      <w:pPr>
        <w:pStyle w:val="CMSHeading3"/>
        <w:rPr>
          <w:b w:val="0"/>
        </w:rPr>
      </w:pPr>
      <w:bookmarkStart w:id="2" w:name="_Toc28008493"/>
      <w:r>
        <w:t>Kanzlei- und Mitarbeiterstruktur</w:t>
      </w:r>
      <w:bookmarkEnd w:id="2"/>
    </w:p>
    <w:p w14:paraId="6423CDBE" w14:textId="77777777" w:rsidR="0071141F" w:rsidRDefault="0071141F" w:rsidP="00ED73E5">
      <w:pPr>
        <w:pStyle w:val="CMSHeading3"/>
        <w:numPr>
          <w:ilvl w:val="0"/>
          <w:numId w:val="0"/>
        </w:numPr>
        <w:ind w:left="567"/>
        <w:rPr>
          <w:i/>
        </w:rPr>
      </w:pPr>
    </w:p>
    <w:p w14:paraId="4C98D8F9" w14:textId="4167E8D2" w:rsidR="0071141F" w:rsidRDefault="007E0C76" w:rsidP="00ED73E5">
      <w:pPr>
        <w:pStyle w:val="CMSIndent3"/>
        <w:jc w:val="both"/>
      </w:pPr>
      <w:r>
        <w:rPr>
          <w:i/>
        </w:rPr>
        <w:t>Beispielsfrau &amp; Mustermann</w:t>
      </w:r>
      <w:r w:rsidR="00156957" w:rsidRPr="00E146EC">
        <w:rPr>
          <w:i/>
        </w:rPr>
        <w:t xml:space="preserve"> </w:t>
      </w:r>
      <w:r>
        <w:rPr>
          <w:i/>
        </w:rPr>
        <w:t>Rechtsanwälte</w:t>
      </w:r>
      <w:r w:rsidR="00156957" w:rsidRPr="00E146EC">
        <w:rPr>
          <w:i/>
        </w:rPr>
        <w:t xml:space="preserve"> </w:t>
      </w:r>
      <w:r>
        <w:rPr>
          <w:i/>
        </w:rPr>
        <w:t>Partnerschaft</w:t>
      </w:r>
      <w:r w:rsidR="004679CD">
        <w:t xml:space="preserve"> ist eine Partnerschaft, die Rechts- und Steuerberatung mit ca. </w:t>
      </w:r>
      <w:r w:rsidR="00156957">
        <w:t xml:space="preserve">xxx </w:t>
      </w:r>
      <w:r w:rsidR="004679CD">
        <w:t xml:space="preserve">Berufsträgern und insgesamt ca. </w:t>
      </w:r>
      <w:r w:rsidR="00156957">
        <w:t xml:space="preserve">xxx </w:t>
      </w:r>
      <w:r w:rsidR="004679CD">
        <w:t xml:space="preserve">Mitarbeitern erbringt. </w:t>
      </w:r>
      <w:r>
        <w:rPr>
          <w:i/>
        </w:rPr>
        <w:t>Beispielsfrau &amp; Mustermann</w:t>
      </w:r>
      <w:r w:rsidR="00156957" w:rsidRPr="00964329">
        <w:rPr>
          <w:i/>
        </w:rPr>
        <w:t xml:space="preserve"> </w:t>
      </w:r>
      <w:r w:rsidR="004679CD">
        <w:t xml:space="preserve">verfügt über </w:t>
      </w:r>
      <w:r w:rsidR="00156957">
        <w:t xml:space="preserve">XX </w:t>
      </w:r>
      <w:r w:rsidR="004679CD">
        <w:t>Standorte (</w:t>
      </w:r>
      <w:r w:rsidR="00156957">
        <w:t>Standort 1, Standort 2</w:t>
      </w:r>
      <w:r w:rsidR="0047632E">
        <w:t>)</w:t>
      </w:r>
      <w:r w:rsidR="004679CD">
        <w:t xml:space="preserve">. </w:t>
      </w:r>
      <w:r w:rsidR="001C1AD5">
        <w:t xml:space="preserve">Alle Standorte </w:t>
      </w:r>
      <w:r w:rsidR="008F345E">
        <w:t>befinden sich in</w:t>
      </w:r>
      <w:r w:rsidR="001C1AD5">
        <w:t xml:space="preserve"> Bürogebäude</w:t>
      </w:r>
      <w:r w:rsidR="008F345E">
        <w:t>n</w:t>
      </w:r>
      <w:r w:rsidR="001C1AD5">
        <w:t xml:space="preserve"> in innerstädtischer Lage</w:t>
      </w:r>
      <w:r w:rsidR="00903B7C">
        <w:t xml:space="preserve">. </w:t>
      </w:r>
      <w:r w:rsidR="00903B7C">
        <w:rPr>
          <w:sz w:val="22"/>
        </w:rPr>
        <w:t>[Weitere Ausführungen zu den Standorten und der Mitarbeiterstruktur].</w:t>
      </w:r>
      <w:r w:rsidR="00D93E5D">
        <w:t xml:space="preserve"> </w:t>
      </w:r>
      <w:r w:rsidR="000F7EFB">
        <w:t>[</w:t>
      </w:r>
      <w:r w:rsidR="00D93E5D">
        <w:t xml:space="preserve">Darüber hinaus ist </w:t>
      </w:r>
      <w:r>
        <w:rPr>
          <w:i/>
        </w:rPr>
        <w:t>Beispielsfrau &amp; Mustermann</w:t>
      </w:r>
      <w:r w:rsidR="00156957" w:rsidRPr="00964329">
        <w:rPr>
          <w:i/>
        </w:rPr>
        <w:t xml:space="preserve"> </w:t>
      </w:r>
      <w:r w:rsidR="00D93E5D">
        <w:t xml:space="preserve">seit vielen Jahren eng mit den Kanzleien des </w:t>
      </w:r>
      <w:r w:rsidR="00156957">
        <w:t>XXX</w:t>
      </w:r>
      <w:r w:rsidR="00D93E5D">
        <w:t>-Netzwerks verbunden</w:t>
      </w:r>
      <w:r w:rsidR="000F7EFB">
        <w:t>].</w:t>
      </w:r>
    </w:p>
    <w:p w14:paraId="1EC8B854" w14:textId="77777777" w:rsidR="0071141F" w:rsidRDefault="0071141F" w:rsidP="00ED73E5">
      <w:pPr>
        <w:pStyle w:val="CMSIndent3"/>
      </w:pPr>
    </w:p>
    <w:p w14:paraId="0A3C501E" w14:textId="51F41C7D" w:rsidR="0071141F" w:rsidRPr="00ED73E5" w:rsidRDefault="0071141F" w:rsidP="00ED73E5">
      <w:pPr>
        <w:pStyle w:val="CMSIndent3"/>
        <w:ind w:left="0"/>
        <w:rPr>
          <w:b/>
        </w:rPr>
      </w:pPr>
      <w:r w:rsidRPr="00ED73E5">
        <w:rPr>
          <w:b/>
        </w:rPr>
        <w:t>2.</w:t>
      </w:r>
      <w:r w:rsidRPr="00ED73E5">
        <w:rPr>
          <w:b/>
        </w:rPr>
        <w:tab/>
        <w:t>Organisationsstruktur</w:t>
      </w:r>
    </w:p>
    <w:p w14:paraId="350460D8" w14:textId="03865061" w:rsidR="00E80DBD" w:rsidRDefault="00C65700" w:rsidP="005C0674">
      <w:pPr>
        <w:pStyle w:val="CMSExhibit7"/>
        <w:spacing w:after="120"/>
      </w:pPr>
      <w:r>
        <w:t xml:space="preserve">Rechtsanwälte von </w:t>
      </w:r>
      <w:r w:rsidR="007E0C76">
        <w:rPr>
          <w:i/>
        </w:rPr>
        <w:t>Beispielsfrau &amp; Mustermann</w:t>
      </w:r>
      <w:r w:rsidR="00156957" w:rsidRPr="00964329">
        <w:rPr>
          <w:i/>
        </w:rPr>
        <w:t xml:space="preserve"> </w:t>
      </w:r>
      <w:r>
        <w:t>sind</w:t>
      </w:r>
      <w:r w:rsidR="002C002F">
        <w:t xml:space="preserve"> nach § 2 Abs. 1 Nr. 10 GwG </w:t>
      </w:r>
      <w:r w:rsidR="00F24160">
        <w:t>Verpflichtete nach dem GwG</w:t>
      </w:r>
      <w:r w:rsidR="00573ECE">
        <w:t xml:space="preserve">. </w:t>
      </w:r>
      <w:r w:rsidR="00F24160">
        <w:t xml:space="preserve">Die Organisationsstruktur von </w:t>
      </w:r>
      <w:r w:rsidR="00F24160">
        <w:rPr>
          <w:i/>
        </w:rPr>
        <w:t>Beispielsfrau &amp; Mustermann</w:t>
      </w:r>
      <w:r w:rsidR="00F24160" w:rsidRPr="00964329">
        <w:rPr>
          <w:i/>
        </w:rPr>
        <w:t xml:space="preserve"> </w:t>
      </w:r>
      <w:r w:rsidR="00F24160" w:rsidRPr="00F24160">
        <w:t xml:space="preserve">bildet dies ab: </w:t>
      </w:r>
      <w:r w:rsidR="008F7FEF" w:rsidRPr="00F24160">
        <w:t xml:space="preserve">Die </w:t>
      </w:r>
      <w:r w:rsidRPr="00F24160">
        <w:t>Mandatsannahme</w:t>
      </w:r>
      <w:r w:rsidR="008F7FEF">
        <w:t xml:space="preserve"> </w:t>
      </w:r>
      <w:r w:rsidR="00BB1AE2">
        <w:t xml:space="preserve">bei </w:t>
      </w:r>
      <w:r w:rsidR="007E0C76">
        <w:rPr>
          <w:i/>
        </w:rPr>
        <w:t>Beispielsfrau &amp; Mustermann</w:t>
      </w:r>
      <w:r w:rsidR="00156957" w:rsidRPr="00964329">
        <w:rPr>
          <w:i/>
        </w:rPr>
        <w:t xml:space="preserve"> </w:t>
      </w:r>
      <w:r w:rsidR="00BB1AE2">
        <w:t xml:space="preserve">erfolgt zentral </w:t>
      </w:r>
      <w:r w:rsidR="00271B88">
        <w:t xml:space="preserve">über das </w:t>
      </w:r>
      <w:r w:rsidR="00EE1867">
        <w:t>Kanzleiverwaltungsp</w:t>
      </w:r>
      <w:r w:rsidR="00BB1AE2" w:rsidRPr="00BB1AE2">
        <w:t xml:space="preserve">rogramm </w:t>
      </w:r>
      <w:r w:rsidR="00156957">
        <w:t xml:space="preserve">XX </w:t>
      </w:r>
      <w:r w:rsidR="00BB1AE2">
        <w:t xml:space="preserve">und </w:t>
      </w:r>
      <w:r w:rsidR="008F7FEF">
        <w:t>stellt sicher, dass alle</w:t>
      </w:r>
      <w:r w:rsidR="00F66FE8">
        <w:t xml:space="preserve"> </w:t>
      </w:r>
      <w:r w:rsidR="008F7FEF">
        <w:t>Mandate</w:t>
      </w:r>
      <w:r w:rsidR="00DF5A19">
        <w:t xml:space="preserve"> gem. § 2 Abs. 1 Nr. 10 GwG</w:t>
      </w:r>
      <w:r w:rsidR="00F66FE8">
        <w:t xml:space="preserve"> </w:t>
      </w:r>
      <w:r w:rsidR="008F7FEF">
        <w:t>(sog. Kataloggeschäfte</w:t>
      </w:r>
      <w:r w:rsidR="005C1568">
        <w:t xml:space="preserve"> oder Katalogtätigkeiten</w:t>
      </w:r>
      <w:r w:rsidR="008F7FEF">
        <w:t xml:space="preserve">) </w:t>
      </w:r>
      <w:r w:rsidR="00F66FE8">
        <w:t xml:space="preserve">der </w:t>
      </w:r>
      <w:r>
        <w:t>Partnerschaft</w:t>
      </w:r>
      <w:r w:rsidR="00F66FE8">
        <w:t xml:space="preserve"> </w:t>
      </w:r>
      <w:r w:rsidR="008F7FEF">
        <w:t xml:space="preserve">erkannt werden. </w:t>
      </w:r>
      <w:r w:rsidR="00F66FE8">
        <w:t xml:space="preserve">Sämtliche </w:t>
      </w:r>
      <w:r>
        <w:t>Neumandate</w:t>
      </w:r>
      <w:r w:rsidR="00F66FE8">
        <w:t xml:space="preserve"> aller Niederlassungen der </w:t>
      </w:r>
      <w:r>
        <w:t>Partnerschaft</w:t>
      </w:r>
      <w:r w:rsidR="00F66FE8">
        <w:t xml:space="preserve"> werden </w:t>
      </w:r>
      <w:r w:rsidR="000A21AF">
        <w:t xml:space="preserve">zentral über </w:t>
      </w:r>
      <w:r w:rsidR="00BD7937" w:rsidRPr="00E146EC">
        <w:rPr>
          <w:i/>
        </w:rPr>
        <w:t>Name Programm</w:t>
      </w:r>
      <w:r w:rsidR="00BD7937">
        <w:t xml:space="preserve"> </w:t>
      </w:r>
      <w:r w:rsidR="000A21AF">
        <w:t xml:space="preserve">angelegt und </w:t>
      </w:r>
      <w:r>
        <w:t>[</w:t>
      </w:r>
      <w:r w:rsidR="00C338D8">
        <w:t xml:space="preserve">detaillierte </w:t>
      </w:r>
      <w:r>
        <w:t xml:space="preserve">Beschreibung Prüfungsprozess]. </w:t>
      </w:r>
      <w:r w:rsidR="00662BED">
        <w:br w:type="textWrapping" w:clear="all"/>
      </w:r>
      <w:r w:rsidR="00304C26">
        <w:t>Die Ergebnisse der Prüfung</w:t>
      </w:r>
      <w:r w:rsidR="0077733C">
        <w:t xml:space="preserve"> und </w:t>
      </w:r>
      <w:r w:rsidR="00DF5A19">
        <w:t xml:space="preserve">die konkrete </w:t>
      </w:r>
      <w:r w:rsidR="0077733C">
        <w:t>Risikobewertung</w:t>
      </w:r>
      <w:r w:rsidR="00DF5A19">
        <w:t xml:space="preserve"> im Einzelfall</w:t>
      </w:r>
      <w:r w:rsidR="0077733C">
        <w:t xml:space="preserve"> (§ 10 Abs. 2 GwG)</w:t>
      </w:r>
      <w:r w:rsidR="00304C26">
        <w:t xml:space="preserve"> werden in einem </w:t>
      </w:r>
      <w:r w:rsidR="00C7166B">
        <w:t>Prüfbericht</w:t>
      </w:r>
      <w:r w:rsidR="00304C26">
        <w:t xml:space="preserve"> </w:t>
      </w:r>
      <w:r w:rsidR="00791AA2">
        <w:t xml:space="preserve">übersichtlich </w:t>
      </w:r>
      <w:r w:rsidR="00BB1AE2">
        <w:t>dokumentiert</w:t>
      </w:r>
      <w:r w:rsidR="00304C26">
        <w:t xml:space="preserve"> </w:t>
      </w:r>
      <w:r w:rsidR="00791AA2">
        <w:t>und</w:t>
      </w:r>
      <w:r w:rsidR="00304C26">
        <w:t xml:space="preserve"> </w:t>
      </w:r>
      <w:r>
        <w:t>separat</w:t>
      </w:r>
      <w:r w:rsidR="00304C26">
        <w:t xml:space="preserve"> </w:t>
      </w:r>
      <w:r w:rsidR="00C7166B">
        <w:t xml:space="preserve">von der Mandatsakte </w:t>
      </w:r>
      <w:r w:rsidR="00304C26">
        <w:t>gespeichert.</w:t>
      </w:r>
    </w:p>
    <w:p w14:paraId="2D8082CA" w14:textId="583B74FE" w:rsidR="0077733C" w:rsidRPr="0077733C" w:rsidRDefault="0077733C">
      <w:pPr>
        <w:pStyle w:val="CMSExhibit7"/>
        <w:spacing w:after="120"/>
      </w:pPr>
      <w:r w:rsidRPr="00E541CA">
        <w:t>[</w:t>
      </w:r>
      <w:r w:rsidRPr="00E541CA">
        <w:rPr>
          <w:b/>
        </w:rPr>
        <w:t>Hinweis:</w:t>
      </w:r>
      <w:r>
        <w:t xml:space="preserve"> Z</w:t>
      </w:r>
      <w:r w:rsidRPr="00E541CA">
        <w:t xml:space="preserve">usätzliche Ausführungen erforderlich, wenn Sicherungsmaßnahmen </w:t>
      </w:r>
      <w:r w:rsidR="00662BED">
        <w:br w:type="textWrapping" w:clear="all"/>
      </w:r>
      <w:r w:rsidRPr="00E541CA">
        <w:t>gem. § 6 Abs. 7 GwG oder Sorgfaltspflichten durch Dritte gem. § 17 GwG erbracht werden</w:t>
      </w:r>
      <w:r>
        <w:t>; in diesem Fall Beschreibung der Prüfprozesse und Arbeitsteilung erforderlich</w:t>
      </w:r>
      <w:r w:rsidR="00650A8B">
        <w:t>.</w:t>
      </w:r>
      <w:r w:rsidRPr="00E541CA">
        <w:t>]</w:t>
      </w:r>
    </w:p>
    <w:p w14:paraId="41E9D0D2" w14:textId="3835F4C8" w:rsidR="003667D2" w:rsidRDefault="000E1FEB" w:rsidP="0077733C">
      <w:pPr>
        <w:pStyle w:val="CMSExhibit7"/>
        <w:ind w:left="0"/>
      </w:pPr>
      <w:r w:rsidRPr="0077733C">
        <w:rPr>
          <w:b/>
        </w:rPr>
        <w:t>3.</w:t>
      </w:r>
      <w:r w:rsidRPr="0077733C">
        <w:rPr>
          <w:b/>
        </w:rPr>
        <w:tab/>
        <w:t>Mandantenstruktur</w:t>
      </w:r>
    </w:p>
    <w:p w14:paraId="6081471E" w14:textId="775BEA9A" w:rsidR="007A369A" w:rsidRDefault="00C47356" w:rsidP="005C0674">
      <w:pPr>
        <w:pStyle w:val="CMSExhibit7"/>
      </w:pPr>
      <w:r>
        <w:t xml:space="preserve">Zum </w:t>
      </w:r>
      <w:r w:rsidR="001C254F">
        <w:t>31.12.</w:t>
      </w:r>
      <w:r w:rsidR="009147F0">
        <w:t>XXXX</w:t>
      </w:r>
      <w:r>
        <w:t xml:space="preserve"> betreut </w:t>
      </w:r>
      <w:r w:rsidR="007E0C76">
        <w:rPr>
          <w:i/>
        </w:rPr>
        <w:t>Beispielsfrau &amp; Mustermann</w:t>
      </w:r>
      <w:r w:rsidR="00BD7937" w:rsidRPr="00964329">
        <w:rPr>
          <w:i/>
        </w:rPr>
        <w:t xml:space="preserve"> </w:t>
      </w:r>
      <w:r w:rsidR="006F0CA2">
        <w:t xml:space="preserve">ca. </w:t>
      </w:r>
      <w:r w:rsidR="00BD7937">
        <w:t>XXX</w:t>
      </w:r>
      <w:r w:rsidR="006F0CA2">
        <w:t xml:space="preserve"> aktive Mandanten. "Aktiv" bedeutet, dass in den letzten zwei Jahren vor </w:t>
      </w:r>
      <w:r w:rsidR="00C7166B">
        <w:t>dem 31.12.</w:t>
      </w:r>
      <w:r w:rsidR="009147F0">
        <w:t>XXXX</w:t>
      </w:r>
      <w:r w:rsidR="006F0CA2">
        <w:t xml:space="preserve"> </w:t>
      </w:r>
      <w:r w:rsidR="007E0C76">
        <w:rPr>
          <w:i/>
        </w:rPr>
        <w:t>Beispielsfrau &amp; Mustermann</w:t>
      </w:r>
      <w:r w:rsidR="00BD7937" w:rsidRPr="00964329">
        <w:rPr>
          <w:i/>
        </w:rPr>
        <w:t xml:space="preserve"> </w:t>
      </w:r>
      <w:r w:rsidR="006F0CA2">
        <w:t xml:space="preserve">Dienstleistungen für den Mandanten erbracht hat. </w:t>
      </w:r>
      <w:r w:rsidR="005E6E95">
        <w:t>Die Mandantenstruktur stellt sich wie folgt dar:</w:t>
      </w:r>
    </w:p>
    <w:p w14:paraId="51506A58" w14:textId="52C64093" w:rsidR="00BD7937" w:rsidRPr="00E146EC" w:rsidRDefault="00662BED" w:rsidP="00E146EC">
      <w:pPr>
        <w:pStyle w:val="CMSExhibit7"/>
        <w:jc w:val="center"/>
        <w:rPr>
          <w:i/>
        </w:rPr>
      </w:pPr>
      <w:r>
        <w:rPr>
          <w:i/>
        </w:rPr>
        <w:t xml:space="preserve">ggf. </w:t>
      </w:r>
      <w:r w:rsidR="00650A8B">
        <w:rPr>
          <w:i/>
        </w:rPr>
        <w:t>g</w:t>
      </w:r>
      <w:r w:rsidR="00BD7937" w:rsidRPr="00E146EC">
        <w:rPr>
          <w:i/>
        </w:rPr>
        <w:t>raphische Darstellung</w:t>
      </w:r>
    </w:p>
    <w:p w14:paraId="4078B71C" w14:textId="77777777" w:rsidR="005C1568" w:rsidRDefault="00351B3A" w:rsidP="00351B3A">
      <w:pPr>
        <w:pStyle w:val="CMSExhibit7"/>
      </w:pPr>
      <w:r w:rsidRPr="006F1C5F">
        <w:lastRenderedPageBreak/>
        <w:t>Viele Mandanten sind langjährige Dauermandanten, die selbst oder deren Entscheider teils persönlich bekannt sind</w:t>
      </w:r>
      <w:r w:rsidR="00460F2D">
        <w:t xml:space="preserve"> und zu denen vereinzelt intensive persönliche Kontakte bestehen</w:t>
      </w:r>
      <w:r w:rsidRPr="006F1C5F">
        <w:t xml:space="preserve">. </w:t>
      </w:r>
    </w:p>
    <w:p w14:paraId="7D9C2117" w14:textId="611AB3CD" w:rsidR="005C1568" w:rsidRDefault="00351B3A" w:rsidP="00351B3A">
      <w:pPr>
        <w:pStyle w:val="CMSExhibit7"/>
      </w:pPr>
      <w:r w:rsidRPr="006F1C5F">
        <w:t>Reine Fernmandate sind dagegen selten</w:t>
      </w:r>
      <w:r w:rsidR="005C1568">
        <w:t xml:space="preserve">. </w:t>
      </w:r>
    </w:p>
    <w:p w14:paraId="1A74DD30" w14:textId="08B696CA" w:rsidR="005C1568" w:rsidRPr="005914CF" w:rsidRDefault="005C1568" w:rsidP="00741C10">
      <w:pPr>
        <w:pStyle w:val="CMSExhibit7"/>
        <w:rPr>
          <w:b/>
        </w:rPr>
      </w:pPr>
      <w:r w:rsidRPr="005914CF">
        <w:rPr>
          <w:b/>
        </w:rPr>
        <w:t>[oder]</w:t>
      </w:r>
    </w:p>
    <w:p w14:paraId="6BD75073" w14:textId="1AA82F1B" w:rsidR="005C1568" w:rsidRPr="005914CF" w:rsidRDefault="005C1568" w:rsidP="00F35C67">
      <w:pPr>
        <w:pStyle w:val="CMSExhibit7"/>
        <w:rPr>
          <w:i/>
        </w:rPr>
      </w:pPr>
      <w:r w:rsidRPr="005914CF">
        <w:t>Viele Mandate wurden als reine Fernmandate und ohne persönlichen Kontakt (Kontakt nur telefonisch oder per Mail</w:t>
      </w:r>
      <w:r w:rsidR="001F67F7">
        <w:t xml:space="preserve"> oder mit Personen (unbekannten Dritten</w:t>
      </w:r>
      <w:r w:rsidRPr="005914CF">
        <w:t>)</w:t>
      </w:r>
      <w:r w:rsidR="001F67F7">
        <w:t>, die für den Mandanten auftraten)</w:t>
      </w:r>
      <w:r w:rsidRPr="005914CF">
        <w:t xml:space="preserve"> bearbeitet.</w:t>
      </w:r>
      <w:r w:rsidR="00F35C67" w:rsidRPr="005914CF">
        <w:rPr>
          <w:b/>
          <w:i/>
        </w:rPr>
        <w:t xml:space="preserve"> Bitte weiter ausführen.</w:t>
      </w:r>
    </w:p>
    <w:p w14:paraId="128960C9" w14:textId="1CBF6A82" w:rsidR="005C1568" w:rsidRPr="005914CF" w:rsidRDefault="005C1568" w:rsidP="00BC7B99">
      <w:pPr>
        <w:pStyle w:val="CMSExhibit7"/>
      </w:pPr>
      <w:r w:rsidRPr="005914CF">
        <w:t xml:space="preserve">Zu den Mandanten zählen </w:t>
      </w:r>
      <w:r w:rsidR="00741C10" w:rsidRPr="005914CF">
        <w:t>[</w:t>
      </w:r>
      <w:r w:rsidRPr="005914CF">
        <w:t>hauptsächlich</w:t>
      </w:r>
      <w:r w:rsidR="00741C10" w:rsidRPr="005914CF">
        <w:t>]</w:t>
      </w:r>
      <w:r w:rsidRPr="005914CF">
        <w:t xml:space="preserve"> </w:t>
      </w:r>
      <w:r w:rsidRPr="005914CF">
        <w:rPr>
          <w:b/>
        </w:rPr>
        <w:t>natürliche Personen/juristische Personen</w:t>
      </w:r>
      <w:r w:rsidR="00741C10" w:rsidRPr="005914CF">
        <w:t>.</w:t>
      </w:r>
    </w:p>
    <w:p w14:paraId="71E08825" w14:textId="12437C38" w:rsidR="00741C10" w:rsidRPr="005914CF" w:rsidRDefault="00741C10" w:rsidP="00C9400A">
      <w:pPr>
        <w:pStyle w:val="CMSExhibit7"/>
      </w:pPr>
      <w:r w:rsidRPr="005914CF">
        <w:t xml:space="preserve">Politisch exponierte Personen, Familienangehörige oder bekanntermaßen nahestehende Personen dieser (§ 1 Abs. 12-14 GwG) oder sanktionsgelistete Personen sind [nicht] </w:t>
      </w:r>
      <w:r w:rsidR="00F06169" w:rsidRPr="005914CF">
        <w:t>beraten/</w:t>
      </w:r>
      <w:r w:rsidRPr="005914CF">
        <w:t>vertreten worden.</w:t>
      </w:r>
    </w:p>
    <w:p w14:paraId="02D40E2D" w14:textId="14221416" w:rsidR="00741C10" w:rsidRPr="005914CF" w:rsidRDefault="00741C10" w:rsidP="00C9400A">
      <w:pPr>
        <w:pStyle w:val="CMSExhibit7"/>
        <w:rPr>
          <w:b/>
        </w:rPr>
      </w:pPr>
      <w:r w:rsidRPr="005914CF">
        <w:rPr>
          <w:b/>
        </w:rPr>
        <w:t xml:space="preserve">[Alternativ: </w:t>
      </w:r>
      <w:r w:rsidR="003A1863" w:rsidRPr="005914CF">
        <w:rPr>
          <w:b/>
        </w:rPr>
        <w:t xml:space="preserve">Bitte </w:t>
      </w:r>
      <w:r w:rsidRPr="005914CF">
        <w:rPr>
          <w:b/>
        </w:rPr>
        <w:t>Unzutreffendes streichen</w:t>
      </w:r>
      <w:r w:rsidR="00547B89" w:rsidRPr="005914CF">
        <w:rPr>
          <w:b/>
        </w:rPr>
        <w:t>:</w:t>
      </w:r>
      <w:r w:rsidRPr="005914CF">
        <w:rPr>
          <w:b/>
        </w:rPr>
        <w:t xml:space="preserve">] </w:t>
      </w:r>
    </w:p>
    <w:p w14:paraId="1CA3154D" w14:textId="4123E145" w:rsidR="00741C10" w:rsidRPr="005914CF" w:rsidRDefault="00741C10" w:rsidP="00F35C67">
      <w:pPr>
        <w:pStyle w:val="CMSExhibit7"/>
        <w:rPr>
          <w:i/>
        </w:rPr>
      </w:pPr>
      <w:r w:rsidRPr="005914CF">
        <w:t>Zu dem Mandantenkreis gehören vermögende Privatkunden/Mandanten mit Negativpresse/Mandanten</w:t>
      </w:r>
      <w:r w:rsidR="00662BED">
        <w:t>,</w:t>
      </w:r>
      <w:r w:rsidRPr="005914CF">
        <w:t xml:space="preserve"> gegen die </w:t>
      </w:r>
      <w:proofErr w:type="gramStart"/>
      <w:r w:rsidRPr="005914CF">
        <w:t>aktuell Ermittlungsverfahren</w:t>
      </w:r>
      <w:proofErr w:type="gramEnd"/>
      <w:r w:rsidRPr="005914CF">
        <w:t xml:space="preserve">/Strafverfahren </w:t>
      </w:r>
      <w:r w:rsidR="00662BED">
        <w:t>geführt werden</w:t>
      </w:r>
      <w:r w:rsidRPr="005914CF">
        <w:t>.</w:t>
      </w:r>
      <w:r w:rsidR="00F35C67" w:rsidRPr="005914CF">
        <w:rPr>
          <w:b/>
          <w:i/>
        </w:rPr>
        <w:t xml:space="preserve"> Bitte weiter ausführen.</w:t>
      </w:r>
    </w:p>
    <w:p w14:paraId="145A74BA" w14:textId="79E58542" w:rsidR="00351B3A" w:rsidRPr="005914CF" w:rsidRDefault="00351B3A" w:rsidP="00F35C67">
      <w:pPr>
        <w:pStyle w:val="CMSExhibit7"/>
        <w:rPr>
          <w:b/>
          <w:i/>
        </w:rPr>
      </w:pPr>
      <w:r w:rsidRPr="005914CF">
        <w:t xml:space="preserve">Bei den Unternehmen dominieren mittelständische und große Unternehmen. </w:t>
      </w:r>
      <w:r w:rsidR="007E0C76" w:rsidRPr="005914CF">
        <w:rPr>
          <w:i/>
        </w:rPr>
        <w:t>Beispielsfrau &amp; Mustermann</w:t>
      </w:r>
      <w:r w:rsidR="00BD7937" w:rsidRPr="005914CF">
        <w:rPr>
          <w:i/>
        </w:rPr>
        <w:t xml:space="preserve"> </w:t>
      </w:r>
      <w:r w:rsidRPr="005914CF">
        <w:t>betreut auch börsennotierte Unternehmen sowie die öffentliche Hand.</w:t>
      </w:r>
      <w:r w:rsidR="00F35C67" w:rsidRPr="005914CF">
        <w:rPr>
          <w:b/>
          <w:i/>
        </w:rPr>
        <w:t xml:space="preserve"> Bitte weiter ausführen.</w:t>
      </w:r>
    </w:p>
    <w:p w14:paraId="0695AFA6" w14:textId="4C31233F" w:rsidR="00547B89" w:rsidRPr="005914CF" w:rsidRDefault="00547B89" w:rsidP="00F35C67">
      <w:pPr>
        <w:pStyle w:val="CMSExhibit7"/>
        <w:rPr>
          <w:i/>
        </w:rPr>
      </w:pPr>
      <w:r w:rsidRPr="005914CF">
        <w:rPr>
          <w:b/>
        </w:rPr>
        <w:t>[Alternativ: Bitte Unzutreffendes streichen:]</w:t>
      </w:r>
    </w:p>
    <w:p w14:paraId="14D05B84" w14:textId="75363F11" w:rsidR="00560BAC" w:rsidRPr="005914CF" w:rsidRDefault="00560BAC" w:rsidP="00F35C67">
      <w:pPr>
        <w:pStyle w:val="CMSExhibit7"/>
        <w:rPr>
          <w:i/>
        </w:rPr>
      </w:pPr>
      <w:r w:rsidRPr="005914CF">
        <w:t>Es wurden juristische Personen vertreten, die als Instrument für die private Vermögensverwaltung dienten (Anlage 2 GwG)</w:t>
      </w:r>
      <w:r w:rsidRPr="005914CF">
        <w:rPr>
          <w:b/>
          <w:i/>
        </w:rPr>
        <w:t xml:space="preserve"> Bitte weiter ausführen.</w:t>
      </w:r>
    </w:p>
    <w:p w14:paraId="18538CFB" w14:textId="3D1E6663" w:rsidR="00560BAC" w:rsidRPr="005914CF" w:rsidRDefault="00560BAC" w:rsidP="00F54D33">
      <w:pPr>
        <w:pStyle w:val="CMSExhibit7"/>
        <w:rPr>
          <w:i/>
        </w:rPr>
      </w:pPr>
      <w:r w:rsidRPr="005914CF">
        <w:t>Es wurden Unternehmen mit nominellen Anteilseignern oder als Inhaberpapiere emittierten Aktien vertreten (Anlage 2 GwG)</w:t>
      </w:r>
      <w:r w:rsidRPr="005914CF">
        <w:rPr>
          <w:b/>
          <w:i/>
        </w:rPr>
        <w:t xml:space="preserve"> Bitte weiter ausführen.</w:t>
      </w:r>
    </w:p>
    <w:p w14:paraId="554A64F3" w14:textId="7B1E0108" w:rsidR="00560BAC" w:rsidRPr="005914CF" w:rsidRDefault="00560BAC" w:rsidP="00F54D33">
      <w:pPr>
        <w:pStyle w:val="CMSExhibit7"/>
      </w:pPr>
      <w:r w:rsidRPr="005914CF">
        <w:t>Es wurden bargeldintensive Unternehmen vertreten (Anlage 2 GwG).</w:t>
      </w:r>
      <w:r w:rsidRPr="005914CF">
        <w:rPr>
          <w:b/>
          <w:i/>
        </w:rPr>
        <w:t xml:space="preserve"> Bitte weiter ausführen.</w:t>
      </w:r>
    </w:p>
    <w:p w14:paraId="22C17E29" w14:textId="0E2FAD53" w:rsidR="00560BAC" w:rsidRPr="005914CF" w:rsidRDefault="00560BAC" w:rsidP="00351B3A">
      <w:pPr>
        <w:pStyle w:val="CMSExhibit7"/>
        <w:rPr>
          <w:i/>
        </w:rPr>
      </w:pPr>
      <w:r w:rsidRPr="005914CF">
        <w:t xml:space="preserve">Es wurden Unternehmen vertreten, deren Geschäftstätigkeit </w:t>
      </w:r>
      <w:r w:rsidR="00BC52DC">
        <w:t xml:space="preserve">als </w:t>
      </w:r>
      <w:r w:rsidRPr="005914CF">
        <w:t xml:space="preserve">ungewöhnlich </w:t>
      </w:r>
      <w:r w:rsidR="00BC52DC">
        <w:t>erscheint</w:t>
      </w:r>
      <w:r w:rsidRPr="005914CF">
        <w:t xml:space="preserve"> (Anlage 2 GwG). </w:t>
      </w:r>
      <w:r w:rsidRPr="005914CF">
        <w:rPr>
          <w:b/>
          <w:i/>
        </w:rPr>
        <w:t>Bitte weiter ausführen.</w:t>
      </w:r>
    </w:p>
    <w:p w14:paraId="438FD4FE" w14:textId="2804F956" w:rsidR="00560BAC" w:rsidRDefault="00560BAC" w:rsidP="00351B3A">
      <w:pPr>
        <w:pStyle w:val="CMSExhibit7"/>
      </w:pPr>
      <w:r w:rsidRPr="005914CF">
        <w:t>Es wurden Unternehmen vertreten, deren Eigentümerstruktur übermäßig kompliziert erschienen ist (Anlage 2 GwG).</w:t>
      </w:r>
      <w:r w:rsidRPr="00BD42C7">
        <w:t xml:space="preserve"> </w:t>
      </w:r>
      <w:r w:rsidRPr="005914CF">
        <w:rPr>
          <w:b/>
          <w:i/>
        </w:rPr>
        <w:t>Bitte weiter ausführen.</w:t>
      </w:r>
    </w:p>
    <w:p w14:paraId="2675E838" w14:textId="77777777" w:rsidR="00351B3A" w:rsidRDefault="00351B3A" w:rsidP="00387C48">
      <w:pPr>
        <w:pStyle w:val="CMSExhibit7"/>
        <w:ind w:left="0"/>
      </w:pPr>
    </w:p>
    <w:p w14:paraId="2AD2B812" w14:textId="65AE4752" w:rsidR="00DB6055" w:rsidRPr="00E541CA" w:rsidRDefault="00FC171D" w:rsidP="00DB6055">
      <w:pPr>
        <w:pStyle w:val="CMSHeading4"/>
      </w:pPr>
      <w:r>
        <w:t xml:space="preserve">Geographische </w:t>
      </w:r>
      <w:r w:rsidR="00752F87" w:rsidRPr="00295368">
        <w:t>Herkunft der Mandanten</w:t>
      </w:r>
      <w:r w:rsidRPr="00E541CA">
        <w:t xml:space="preserve"> und Mandatsbezug zu Hochrisikoländern</w:t>
      </w:r>
    </w:p>
    <w:p w14:paraId="74AF0225" w14:textId="78F22D24" w:rsidR="00FC171D" w:rsidRDefault="00FC171D" w:rsidP="00FC171D">
      <w:pPr>
        <w:pStyle w:val="CMSHeading4"/>
        <w:numPr>
          <w:ilvl w:val="0"/>
          <w:numId w:val="0"/>
        </w:numPr>
      </w:pPr>
    </w:p>
    <w:p w14:paraId="45FDFB9B" w14:textId="77777777" w:rsidR="00FC171D" w:rsidRPr="00F90C45" w:rsidRDefault="00FC171D" w:rsidP="00FC171D">
      <w:pPr>
        <w:pStyle w:val="CMSExhibit7"/>
        <w:rPr>
          <w:rFonts w:ascii="Times New Roman" w:hAnsi="Times New Roman"/>
        </w:rPr>
      </w:pPr>
      <w:r w:rsidRPr="002E06B1">
        <w:rPr>
          <w:rFonts w:ascii="Times New Roman" w:hAnsi="Times New Roman"/>
        </w:rPr>
        <w:t xml:space="preserve">Die Betrachtung </w:t>
      </w:r>
      <w:r>
        <w:rPr>
          <w:rFonts w:ascii="Times New Roman" w:hAnsi="Times New Roman"/>
        </w:rPr>
        <w:t>aller</w:t>
      </w:r>
      <w:r w:rsidRPr="002E06B1">
        <w:rPr>
          <w:rFonts w:ascii="Times New Roman" w:hAnsi="Times New Roman"/>
        </w:rPr>
        <w:t xml:space="preserve"> Mandanten von </w:t>
      </w:r>
      <w:r w:rsidRPr="002E06B1">
        <w:rPr>
          <w:rFonts w:ascii="Times New Roman" w:hAnsi="Times New Roman"/>
          <w:i/>
        </w:rPr>
        <w:t xml:space="preserve">Beispielsfrau &amp; Mustermann </w:t>
      </w:r>
      <w:r w:rsidRPr="002E06B1">
        <w:rPr>
          <w:rFonts w:ascii="Times New Roman" w:hAnsi="Times New Roman"/>
        </w:rPr>
        <w:t xml:space="preserve">im Hinblick auf ihre geographische Herkunft zeigt, dass der Großteil der Mandanten, ca. XX %, in Deutschland ansässig ist. </w:t>
      </w:r>
      <w:r>
        <w:rPr>
          <w:rFonts w:ascii="Times New Roman" w:hAnsi="Times New Roman"/>
        </w:rPr>
        <w:t xml:space="preserve">Es </w:t>
      </w:r>
      <w:r w:rsidRPr="002E06B1">
        <w:rPr>
          <w:rFonts w:ascii="Times New Roman" w:hAnsi="Times New Roman"/>
        </w:rPr>
        <w:t>haben ca. XX % der Mandanten ihren Sitz in einem Mitgliedstaat der Europäischen Union</w:t>
      </w:r>
      <w:r>
        <w:rPr>
          <w:rFonts w:ascii="Times New Roman" w:hAnsi="Times New Roman"/>
        </w:rPr>
        <w:t xml:space="preserve">; XX % der Mandanten haben ihren Sitz in einem Drittstaat. </w:t>
      </w:r>
    </w:p>
    <w:p w14:paraId="7DBAA6E6" w14:textId="77777777" w:rsidR="00FC171D" w:rsidRDefault="00FC171D" w:rsidP="00E541CA">
      <w:pPr>
        <w:pStyle w:val="CMSHeading4"/>
        <w:numPr>
          <w:ilvl w:val="0"/>
          <w:numId w:val="0"/>
        </w:numPr>
      </w:pPr>
    </w:p>
    <w:p w14:paraId="6BB34F42" w14:textId="49BCFFB8" w:rsidR="003A645B" w:rsidRDefault="0076451E" w:rsidP="006F1C5F">
      <w:pPr>
        <w:pStyle w:val="CMSExhibit7"/>
        <w:ind w:left="0"/>
        <w:jc w:val="center"/>
      </w:pPr>
      <w:r>
        <w:rPr>
          <w:noProof/>
        </w:rPr>
        <w:lastRenderedPageBreak/>
        <w:drawing>
          <wp:inline distT="0" distB="0" distL="0" distR="0" wp14:anchorId="110A2049" wp14:editId="4DF712D8">
            <wp:extent cx="4959706" cy="2589581"/>
            <wp:effectExtent l="0" t="0" r="12700" b="1270"/>
            <wp:docPr id="13" name="Diagramm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112F416" w14:textId="77777777" w:rsidR="008F6406" w:rsidRDefault="008F6406" w:rsidP="006F1C5F">
      <w:pPr>
        <w:pStyle w:val="CMSExhibit7"/>
      </w:pPr>
    </w:p>
    <w:p w14:paraId="745ED2EA" w14:textId="3B3FF6B4" w:rsidR="00FC171D" w:rsidRDefault="00FC171D" w:rsidP="00FC171D">
      <w:pPr>
        <w:pStyle w:val="CMSExhibit7"/>
        <w:rPr>
          <w:rFonts w:ascii="Times New Roman" w:hAnsi="Times New Roman"/>
        </w:rPr>
      </w:pPr>
      <w:r w:rsidRPr="002E06B1">
        <w:rPr>
          <w:rFonts w:ascii="Times New Roman" w:hAnsi="Times New Roman"/>
        </w:rPr>
        <w:t xml:space="preserve">Die Anzahl der Akten, die im Jahr XXXX als </w:t>
      </w:r>
      <w:r w:rsidR="00AB4E26" w:rsidRPr="00AB4E26">
        <w:rPr>
          <w:rFonts w:ascii="Times New Roman" w:hAnsi="Times New Roman"/>
        </w:rPr>
        <w:t>Mandate nach § 2 Abs. 1 Nr. 10 GwG</w:t>
      </w:r>
      <w:r w:rsidR="00AB4E26">
        <w:rPr>
          <w:rFonts w:ascii="Times New Roman" w:hAnsi="Times New Roman"/>
        </w:rPr>
        <w:t xml:space="preserve"> </w:t>
      </w:r>
      <w:r w:rsidRPr="002E06B1">
        <w:rPr>
          <w:rFonts w:ascii="Times New Roman" w:hAnsi="Times New Roman"/>
        </w:rPr>
        <w:t>angelegt wurden, belief sich auf XX. Dies entspricht ca. XX % aller in diesem Zeitraum angelegten Akten.</w:t>
      </w:r>
      <w:r>
        <w:rPr>
          <w:rFonts w:ascii="Times New Roman" w:hAnsi="Times New Roman"/>
        </w:rPr>
        <w:t xml:space="preserve"> Ca. XX % </w:t>
      </w:r>
      <w:r w:rsidRPr="002E06B1">
        <w:rPr>
          <w:rFonts w:ascii="Times New Roman" w:hAnsi="Times New Roman"/>
        </w:rPr>
        <w:t xml:space="preserve">der Mandanten </w:t>
      </w:r>
      <w:r>
        <w:rPr>
          <w:rFonts w:ascii="Times New Roman" w:hAnsi="Times New Roman"/>
        </w:rPr>
        <w:t xml:space="preserve">der </w:t>
      </w:r>
      <w:r w:rsidR="00C704DD">
        <w:rPr>
          <w:rFonts w:ascii="Times New Roman" w:hAnsi="Times New Roman"/>
        </w:rPr>
        <w:t>Katalogtätigkeiten</w:t>
      </w:r>
      <w:r w:rsidR="00AB4E26" w:rsidRPr="00AB4E26">
        <w:rPr>
          <w:rFonts w:ascii="Times New Roman" w:hAnsi="Times New Roman"/>
        </w:rPr>
        <w:t xml:space="preserve"> nach § 2 Abs. 1 Nr. 10 GwG</w:t>
      </w:r>
      <w:r w:rsidR="00AB4E26">
        <w:rPr>
          <w:rFonts w:ascii="Times New Roman" w:hAnsi="Times New Roman"/>
        </w:rPr>
        <w:t xml:space="preserve"> </w:t>
      </w:r>
      <w:r>
        <w:rPr>
          <w:rFonts w:ascii="Times New Roman" w:hAnsi="Times New Roman"/>
        </w:rPr>
        <w:t>hat ihren</w:t>
      </w:r>
      <w:r w:rsidRPr="002E06B1">
        <w:rPr>
          <w:rFonts w:ascii="Times New Roman" w:hAnsi="Times New Roman"/>
        </w:rPr>
        <w:t xml:space="preserve"> Sitz in Deutschland. Von den Mandanten mit Sitz im Ausland sind ca. XX % in der Europäischen Union ansässig, womit sich der Anteil der Mandanten mit Sitz in einem Mitgliedstaat der Europäischen Union auf ca. XX % beläuft. Die restlichen ca. XX % entfallen auf Drittstaaten</w:t>
      </w:r>
      <w:r>
        <w:rPr>
          <w:rFonts w:ascii="Times New Roman" w:hAnsi="Times New Roman"/>
        </w:rPr>
        <w:t>.</w:t>
      </w:r>
      <w:r w:rsidRPr="002E06B1">
        <w:rPr>
          <w:rFonts w:ascii="Times New Roman" w:hAnsi="Times New Roman"/>
        </w:rPr>
        <w:t xml:space="preserve"> </w:t>
      </w:r>
    </w:p>
    <w:p w14:paraId="74CE3FA2" w14:textId="58FC4756" w:rsidR="00FC171D" w:rsidRDefault="00FC171D" w:rsidP="00FC171D">
      <w:pPr>
        <w:pStyle w:val="CMSExhibit7"/>
        <w:rPr>
          <w:rFonts w:ascii="Times New Roman" w:hAnsi="Times New Roman"/>
        </w:rPr>
      </w:pPr>
      <w:r>
        <w:rPr>
          <w:rFonts w:ascii="Times New Roman" w:hAnsi="Times New Roman"/>
        </w:rPr>
        <w:t xml:space="preserve">Geschäftsbeziehungen zu Mandanten aus Ländern, deren Gesetzgebung zur Bekämpfung der Geldwäsche und Terrorismusfinanzierung nach Ansicht der Financial Action Task Force on Money </w:t>
      </w:r>
      <w:proofErr w:type="spellStart"/>
      <w:r>
        <w:rPr>
          <w:rFonts w:ascii="Times New Roman" w:hAnsi="Times New Roman"/>
        </w:rPr>
        <w:t>Laundering</w:t>
      </w:r>
      <w:proofErr w:type="spellEnd"/>
      <w:r>
        <w:rPr>
          <w:rFonts w:ascii="Times New Roman" w:hAnsi="Times New Roman"/>
        </w:rPr>
        <w:t xml:space="preserve"> (FATF) und der Europäischen Kommission nicht den anerkannten Standards entsprechen</w:t>
      </w:r>
      <w:r w:rsidR="00FF749B" w:rsidRPr="002E06B1">
        <w:rPr>
          <w:rStyle w:val="Funotenzeichen"/>
          <w:rFonts w:ascii="Times New Roman" w:hAnsi="Times New Roman"/>
          <w:shd w:val="clear" w:color="auto" w:fill="FFFFFF"/>
        </w:rPr>
        <w:footnoteReference w:id="2"/>
      </w:r>
      <w:r w:rsidR="007D4432">
        <w:rPr>
          <w:rFonts w:ascii="Times New Roman" w:hAnsi="Times New Roman"/>
        </w:rPr>
        <w:t xml:space="preserve"> sowie auch die Länder, die in der </w:t>
      </w:r>
      <w:r w:rsidR="00FF749B">
        <w:rPr>
          <w:rFonts w:ascii="Times New Roman" w:hAnsi="Times New Roman"/>
        </w:rPr>
        <w:t xml:space="preserve">ersten </w:t>
      </w:r>
      <w:r w:rsidR="007D4432">
        <w:rPr>
          <w:rFonts w:ascii="Times New Roman" w:hAnsi="Times New Roman"/>
        </w:rPr>
        <w:t>Nationalen Risikoanaly</w:t>
      </w:r>
      <w:r w:rsidR="00FF749B">
        <w:rPr>
          <w:rFonts w:ascii="Times New Roman" w:hAnsi="Times New Roman"/>
        </w:rPr>
        <w:t>se des Bundesministeriums für Finanzen aufgeführt wurden</w:t>
      </w:r>
      <w:r w:rsidR="00FF749B">
        <w:rPr>
          <w:rStyle w:val="Funotenzeichen"/>
          <w:rFonts w:ascii="Times New Roman" w:hAnsi="Times New Roman"/>
        </w:rPr>
        <w:footnoteReference w:id="3"/>
      </w:r>
      <w:r>
        <w:rPr>
          <w:rFonts w:ascii="Times New Roman" w:hAnsi="Times New Roman"/>
        </w:rPr>
        <w:t xml:space="preserve"> </w:t>
      </w:r>
      <w:r w:rsidRPr="008A6D6C">
        <w:rPr>
          <w:rFonts w:ascii="Times New Roman" w:hAnsi="Times New Roman"/>
          <w:b/>
        </w:rPr>
        <w:t>[werden/wurden nicht unterhalten oder werden/wurden zu folgenden Ländern unterhalten]</w:t>
      </w:r>
      <w:r>
        <w:rPr>
          <w:rFonts w:ascii="Times New Roman" w:hAnsi="Times New Roman"/>
        </w:rPr>
        <w:t>.</w:t>
      </w:r>
    </w:p>
    <w:p w14:paraId="276C27F5" w14:textId="6420D242" w:rsidR="00FC171D" w:rsidRDefault="00FC171D" w:rsidP="00FC171D">
      <w:pPr>
        <w:pStyle w:val="CMSExhibit7"/>
        <w:rPr>
          <w:rFonts w:ascii="Times New Roman" w:hAnsi="Times New Roman"/>
          <w:b/>
        </w:rPr>
      </w:pPr>
      <w:r w:rsidRPr="008A6D6C">
        <w:rPr>
          <w:rFonts w:ascii="Times New Roman" w:hAnsi="Times New Roman"/>
          <w:b/>
        </w:rPr>
        <w:t xml:space="preserve">[ggf. Hochrisikoländer, zu denen ein Mandatsbezug in einem </w:t>
      </w:r>
      <w:r w:rsidR="00AB4E26" w:rsidRPr="00AB4E26">
        <w:rPr>
          <w:rFonts w:ascii="Times New Roman" w:hAnsi="Times New Roman"/>
          <w:b/>
        </w:rPr>
        <w:t>Mandat nach § 2 Abs. 1 Nr. 10 GwG</w:t>
      </w:r>
      <w:r w:rsidR="00AB4E26">
        <w:rPr>
          <w:rFonts w:ascii="Times New Roman" w:hAnsi="Times New Roman"/>
          <w:b/>
        </w:rPr>
        <w:t xml:space="preserve"> </w:t>
      </w:r>
      <w:r>
        <w:rPr>
          <w:rFonts w:ascii="Times New Roman" w:hAnsi="Times New Roman"/>
          <w:b/>
        </w:rPr>
        <w:t xml:space="preserve">bestand oder </w:t>
      </w:r>
      <w:r w:rsidRPr="008A6D6C">
        <w:rPr>
          <w:rFonts w:ascii="Times New Roman" w:hAnsi="Times New Roman"/>
          <w:b/>
        </w:rPr>
        <w:t xml:space="preserve">besteht, aufführen und die Anzahl der </w:t>
      </w:r>
      <w:r w:rsidR="00AB4E26" w:rsidRPr="00AB4E26">
        <w:rPr>
          <w:rFonts w:ascii="Times New Roman" w:hAnsi="Times New Roman"/>
          <w:b/>
        </w:rPr>
        <w:t>Mandate nach § 2 Abs. 1 Nr. 10 GwG</w:t>
      </w:r>
      <w:r w:rsidR="00AB4E26">
        <w:rPr>
          <w:rFonts w:ascii="Times New Roman" w:hAnsi="Times New Roman"/>
          <w:b/>
        </w:rPr>
        <w:t xml:space="preserve"> </w:t>
      </w:r>
      <w:r w:rsidRPr="008A6D6C">
        <w:rPr>
          <w:rFonts w:ascii="Times New Roman" w:hAnsi="Times New Roman"/>
          <w:b/>
        </w:rPr>
        <w:t>benennen; bitte im Hinblick auf das Risiko weiter ausführen]</w:t>
      </w:r>
    </w:p>
    <w:p w14:paraId="7B45B073" w14:textId="77777777" w:rsidR="00FC171D" w:rsidRPr="007276FB" w:rsidRDefault="00FC171D" w:rsidP="00FC171D">
      <w:pPr>
        <w:pStyle w:val="CMSExhibit7"/>
        <w:rPr>
          <w:rFonts w:ascii="Times New Roman" w:hAnsi="Times New Roman"/>
        </w:rPr>
      </w:pPr>
      <w:r w:rsidRPr="002E06B1">
        <w:rPr>
          <w:rFonts w:ascii="Times New Roman" w:hAnsi="Times New Roman"/>
        </w:rPr>
        <w:t xml:space="preserve">Bei der Identifizierung der dazugehörigen Mandanten, der für diese auftretenden Personen und der wirtschaftlich Berechtigten sind </w:t>
      </w:r>
      <w:r w:rsidRPr="007276FB">
        <w:rPr>
          <w:rFonts w:ascii="Times New Roman" w:hAnsi="Times New Roman"/>
          <w:b/>
        </w:rPr>
        <w:t>[keine/folgende]</w:t>
      </w:r>
      <w:r w:rsidRPr="002E06B1">
        <w:rPr>
          <w:rFonts w:ascii="Times New Roman" w:hAnsi="Times New Roman"/>
        </w:rPr>
        <w:t xml:space="preserve"> Auffälligkeiten festgestellt worden. </w:t>
      </w:r>
      <w:r w:rsidRPr="007276FB">
        <w:rPr>
          <w:rFonts w:ascii="Times New Roman" w:hAnsi="Times New Roman"/>
          <w:b/>
        </w:rPr>
        <w:t>[ggf. weiter ausführen, wenn Auffälligkeiten festgestellt wurden]</w:t>
      </w:r>
    </w:p>
    <w:p w14:paraId="3B8F32CC" w14:textId="77777777" w:rsidR="00FC171D" w:rsidRPr="002E06B1" w:rsidRDefault="00FC171D" w:rsidP="00FC171D">
      <w:pPr>
        <w:pStyle w:val="CMSExhibit7"/>
        <w:rPr>
          <w:rFonts w:ascii="Times New Roman" w:hAnsi="Times New Roman"/>
        </w:rPr>
      </w:pPr>
      <w:r>
        <w:rPr>
          <w:rFonts w:ascii="Times New Roman" w:hAnsi="Times New Roman"/>
        </w:rPr>
        <w:t xml:space="preserve">Aus der Gesamtbetrachtung der geographischen Herkunft der Mandanten sowie des Mandatsbezugs zu Hochrisikoländern wird das Risiko, dass die Kanzlei für Zwecke der Geldwäsche oder Terrorismusfinanzierung missbraucht wird, als </w:t>
      </w:r>
      <w:r w:rsidRPr="007276FB">
        <w:rPr>
          <w:rFonts w:ascii="Times New Roman" w:hAnsi="Times New Roman"/>
          <w:b/>
        </w:rPr>
        <w:t>[niedrig/mittel bis niedrig/mittel bis hoch/hoch]</w:t>
      </w:r>
      <w:r w:rsidRPr="002E06B1">
        <w:rPr>
          <w:rFonts w:ascii="Times New Roman" w:hAnsi="Times New Roman"/>
        </w:rPr>
        <w:t xml:space="preserve"> </w:t>
      </w:r>
      <w:r>
        <w:rPr>
          <w:rFonts w:ascii="Times New Roman" w:hAnsi="Times New Roman"/>
        </w:rPr>
        <w:t>eingestuft.</w:t>
      </w:r>
      <w:r w:rsidRPr="002E06B1">
        <w:rPr>
          <w:rFonts w:ascii="Times New Roman" w:hAnsi="Times New Roman"/>
        </w:rPr>
        <w:t xml:space="preserve"> </w:t>
      </w:r>
    </w:p>
    <w:p w14:paraId="63573DF5" w14:textId="21B210AD" w:rsidR="00351B3A" w:rsidRDefault="00351B3A" w:rsidP="006F1C5F">
      <w:pPr>
        <w:pStyle w:val="CMSExhibit7"/>
        <w:ind w:left="0"/>
      </w:pPr>
    </w:p>
    <w:p w14:paraId="0667E1C4" w14:textId="77777777" w:rsidR="00DB6055" w:rsidRDefault="00DB6055" w:rsidP="00DB6055">
      <w:pPr>
        <w:pStyle w:val="CMSHeading4"/>
      </w:pPr>
      <w:r>
        <w:t>Mandantenspezifische Risiken</w:t>
      </w:r>
    </w:p>
    <w:p w14:paraId="5A4CD752" w14:textId="77777777" w:rsidR="00DB6055" w:rsidRDefault="00DB6055" w:rsidP="00DB6055">
      <w:pPr>
        <w:pStyle w:val="CMSHeading4"/>
        <w:numPr>
          <w:ilvl w:val="0"/>
          <w:numId w:val="0"/>
        </w:numPr>
        <w:ind w:left="1134" w:hanging="567"/>
      </w:pPr>
    </w:p>
    <w:p w14:paraId="50ED4AB1" w14:textId="2F45D3A3" w:rsidR="00DB6055" w:rsidRDefault="00DB6055" w:rsidP="00DB6055">
      <w:pPr>
        <w:pStyle w:val="CMSExhibit7"/>
      </w:pPr>
      <w:r>
        <w:t xml:space="preserve">Die Mandantenstruktur von </w:t>
      </w:r>
      <w:r w:rsidR="007E0C76">
        <w:rPr>
          <w:i/>
        </w:rPr>
        <w:t>Beispielsfrau &amp; Mustermann</w:t>
      </w:r>
      <w:r w:rsidR="00537671" w:rsidRPr="00964329">
        <w:rPr>
          <w:i/>
        </w:rPr>
        <w:t xml:space="preserve"> </w:t>
      </w:r>
      <w:r>
        <w:t>setzt sich überwiegend aus den folgenden Mandantengruppen zusammen:</w:t>
      </w:r>
    </w:p>
    <w:p w14:paraId="3A574357" w14:textId="77777777" w:rsidR="00DB6055" w:rsidRDefault="00DB6055" w:rsidP="00DB6055">
      <w:pPr>
        <w:pStyle w:val="CMSExhibit7"/>
        <w:ind w:left="0"/>
      </w:pPr>
    </w:p>
    <w:tbl>
      <w:tblPr>
        <w:tblStyle w:val="Tabellenraster"/>
        <w:tblW w:w="0" w:type="auto"/>
        <w:tblInd w:w="567" w:type="dxa"/>
        <w:tblLook w:val="04A0" w:firstRow="1" w:lastRow="0" w:firstColumn="1" w:lastColumn="0" w:noHBand="0" w:noVBand="1"/>
      </w:tblPr>
      <w:tblGrid>
        <w:gridCol w:w="3794"/>
        <w:gridCol w:w="2693"/>
      </w:tblGrid>
      <w:tr w:rsidR="00DB6055" w14:paraId="0DFEA98D" w14:textId="77777777" w:rsidTr="006F1C5F">
        <w:tc>
          <w:tcPr>
            <w:tcW w:w="3794" w:type="dxa"/>
          </w:tcPr>
          <w:p w14:paraId="40BF2EAE" w14:textId="77777777" w:rsidR="00DB6055" w:rsidRPr="005D5A25" w:rsidRDefault="00DB6055" w:rsidP="006F1C5F">
            <w:pPr>
              <w:pStyle w:val="CMSExhibit7"/>
              <w:spacing w:line="240" w:lineRule="auto"/>
              <w:ind w:left="0"/>
              <w:jc w:val="left"/>
            </w:pPr>
            <w:r w:rsidRPr="005D5A25">
              <w:t>Mandantengruppen</w:t>
            </w:r>
          </w:p>
        </w:tc>
        <w:tc>
          <w:tcPr>
            <w:tcW w:w="2693" w:type="dxa"/>
          </w:tcPr>
          <w:p w14:paraId="016EAD65" w14:textId="3E551D40" w:rsidR="00DB6055" w:rsidRPr="005D5A25" w:rsidRDefault="00E56E76" w:rsidP="00E541CA">
            <w:pPr>
              <w:pStyle w:val="CMSExhibit7"/>
              <w:spacing w:line="240" w:lineRule="auto"/>
              <w:ind w:left="0"/>
              <w:jc w:val="center"/>
            </w:pPr>
            <w:proofErr w:type="spellStart"/>
            <w:r w:rsidRPr="005D5A25">
              <w:t>pot</w:t>
            </w:r>
            <w:proofErr w:type="spellEnd"/>
            <w:r w:rsidRPr="005D5A25">
              <w:t xml:space="preserve">. </w:t>
            </w:r>
            <w:r w:rsidR="00DB6055" w:rsidRPr="005D5A25">
              <w:t>Risikoeinschätzung</w:t>
            </w:r>
          </w:p>
        </w:tc>
      </w:tr>
      <w:tr w:rsidR="00DB6055" w14:paraId="03CEFC6C" w14:textId="77777777" w:rsidTr="006F1C5F">
        <w:tc>
          <w:tcPr>
            <w:tcW w:w="3794" w:type="dxa"/>
          </w:tcPr>
          <w:p w14:paraId="7DBB3FFD" w14:textId="3E66CE32" w:rsidR="00DB6055" w:rsidRPr="005D5A25" w:rsidRDefault="00DB6055" w:rsidP="006F1C5F">
            <w:pPr>
              <w:pStyle w:val="CMSExhibit7"/>
              <w:spacing w:line="240" w:lineRule="auto"/>
              <w:ind w:left="0"/>
              <w:jc w:val="left"/>
            </w:pPr>
            <w:r w:rsidRPr="005D5A25">
              <w:t>Privatkunden</w:t>
            </w:r>
          </w:p>
        </w:tc>
        <w:tc>
          <w:tcPr>
            <w:tcW w:w="2693" w:type="dxa"/>
          </w:tcPr>
          <w:p w14:paraId="1392DA57" w14:textId="7F9FDA7B" w:rsidR="00DB6055" w:rsidRPr="005D5A25" w:rsidRDefault="00DB6055" w:rsidP="006F1C5F">
            <w:pPr>
              <w:pStyle w:val="CMSExhibit7"/>
              <w:spacing w:line="240" w:lineRule="auto"/>
              <w:ind w:left="0"/>
            </w:pPr>
          </w:p>
        </w:tc>
      </w:tr>
      <w:tr w:rsidR="00DB6055" w14:paraId="695F131A" w14:textId="77777777" w:rsidTr="006F1C5F">
        <w:tc>
          <w:tcPr>
            <w:tcW w:w="3794" w:type="dxa"/>
          </w:tcPr>
          <w:p w14:paraId="36B67348" w14:textId="77777777" w:rsidR="00DB6055" w:rsidRPr="005D5A25" w:rsidRDefault="00DB6055" w:rsidP="006F1C5F">
            <w:pPr>
              <w:pStyle w:val="CMSExhibit7"/>
              <w:spacing w:line="240" w:lineRule="auto"/>
              <w:ind w:left="0"/>
              <w:jc w:val="left"/>
            </w:pPr>
            <w:r w:rsidRPr="005D5A25">
              <w:t>Gesellschafter / Geschäftsführer</w:t>
            </w:r>
          </w:p>
        </w:tc>
        <w:tc>
          <w:tcPr>
            <w:tcW w:w="2693" w:type="dxa"/>
          </w:tcPr>
          <w:p w14:paraId="107165E7" w14:textId="328D9D5E" w:rsidR="00DB6055" w:rsidRPr="005D5A25" w:rsidRDefault="00DB6055" w:rsidP="006F1C5F">
            <w:pPr>
              <w:pStyle w:val="CMSExhibit7"/>
              <w:spacing w:line="240" w:lineRule="auto"/>
              <w:ind w:left="0"/>
            </w:pPr>
          </w:p>
        </w:tc>
      </w:tr>
      <w:tr w:rsidR="00DB6055" w14:paraId="33A00CCA" w14:textId="77777777" w:rsidTr="006F1C5F">
        <w:tc>
          <w:tcPr>
            <w:tcW w:w="3794" w:type="dxa"/>
          </w:tcPr>
          <w:p w14:paraId="7F6CB185" w14:textId="77777777" w:rsidR="00DB6055" w:rsidRPr="005D5A25" w:rsidRDefault="00DB6055" w:rsidP="006F1C5F">
            <w:pPr>
              <w:pStyle w:val="CMSExhibit7"/>
              <w:spacing w:line="240" w:lineRule="auto"/>
              <w:ind w:left="0"/>
              <w:jc w:val="left"/>
            </w:pPr>
            <w:r w:rsidRPr="005D5A25">
              <w:t>Politisch exponierte Personen (PEP)</w:t>
            </w:r>
          </w:p>
        </w:tc>
        <w:tc>
          <w:tcPr>
            <w:tcW w:w="2693" w:type="dxa"/>
          </w:tcPr>
          <w:p w14:paraId="07E33CCC" w14:textId="7DDADC36" w:rsidR="00DB6055" w:rsidRPr="005D5A25" w:rsidRDefault="00DB6055" w:rsidP="006F1C5F">
            <w:pPr>
              <w:pStyle w:val="CMSExhibit7"/>
              <w:spacing w:line="240" w:lineRule="auto"/>
              <w:ind w:left="0"/>
            </w:pPr>
          </w:p>
        </w:tc>
      </w:tr>
      <w:tr w:rsidR="00DB6055" w14:paraId="2A7C9603" w14:textId="77777777" w:rsidTr="006F1C5F">
        <w:tc>
          <w:tcPr>
            <w:tcW w:w="3794" w:type="dxa"/>
          </w:tcPr>
          <w:p w14:paraId="12A02C8C" w14:textId="77777777" w:rsidR="00DB6055" w:rsidRPr="005D5A25" w:rsidRDefault="00DB6055" w:rsidP="006F1C5F">
            <w:pPr>
              <w:pStyle w:val="CMSExhibit7"/>
              <w:spacing w:line="240" w:lineRule="auto"/>
              <w:ind w:left="0"/>
              <w:jc w:val="left"/>
            </w:pPr>
            <w:r w:rsidRPr="005D5A25">
              <w:t>Kapitalgesellschaften</w:t>
            </w:r>
          </w:p>
        </w:tc>
        <w:tc>
          <w:tcPr>
            <w:tcW w:w="2693" w:type="dxa"/>
          </w:tcPr>
          <w:p w14:paraId="25D9AADD" w14:textId="1CB8FEA8" w:rsidR="00DB6055" w:rsidRPr="005D5A25" w:rsidRDefault="00DB6055" w:rsidP="006F1C5F">
            <w:pPr>
              <w:pStyle w:val="CMSExhibit7"/>
              <w:spacing w:line="240" w:lineRule="auto"/>
              <w:ind w:left="0"/>
            </w:pPr>
          </w:p>
        </w:tc>
      </w:tr>
      <w:tr w:rsidR="00DB6055" w14:paraId="4EB6DC7E" w14:textId="77777777" w:rsidTr="006F1C5F">
        <w:tc>
          <w:tcPr>
            <w:tcW w:w="3794" w:type="dxa"/>
          </w:tcPr>
          <w:p w14:paraId="0893ADA3" w14:textId="77777777" w:rsidR="00DB6055" w:rsidRPr="005D5A25" w:rsidRDefault="00DB6055" w:rsidP="006F1C5F">
            <w:pPr>
              <w:pStyle w:val="CMSExhibit7"/>
              <w:spacing w:line="240" w:lineRule="auto"/>
              <w:ind w:left="0"/>
              <w:jc w:val="left"/>
            </w:pPr>
            <w:r w:rsidRPr="005D5A25">
              <w:t>Börsennotierte Gesellschaften</w:t>
            </w:r>
          </w:p>
        </w:tc>
        <w:tc>
          <w:tcPr>
            <w:tcW w:w="2693" w:type="dxa"/>
          </w:tcPr>
          <w:p w14:paraId="2478F0B4" w14:textId="000E326D" w:rsidR="00DB6055" w:rsidRPr="005D5A25" w:rsidRDefault="00DB6055" w:rsidP="006F1C5F">
            <w:pPr>
              <w:pStyle w:val="CMSExhibit7"/>
              <w:spacing w:line="240" w:lineRule="auto"/>
              <w:ind w:left="0"/>
            </w:pPr>
          </w:p>
        </w:tc>
      </w:tr>
      <w:tr w:rsidR="00DD1403" w14:paraId="5BEA26AA" w14:textId="77777777" w:rsidTr="006F1C5F">
        <w:tc>
          <w:tcPr>
            <w:tcW w:w="3794" w:type="dxa"/>
          </w:tcPr>
          <w:p w14:paraId="1454C4EA" w14:textId="2F04528B" w:rsidR="0087750C" w:rsidRPr="005D5A25" w:rsidRDefault="00DD1403" w:rsidP="006F1C5F">
            <w:pPr>
              <w:pStyle w:val="CMSExhibit7"/>
              <w:ind w:left="0"/>
              <w:jc w:val="left"/>
            </w:pPr>
            <w:r>
              <w:t>Gesellschaften bürgerlichen Rechts (GbR)</w:t>
            </w:r>
          </w:p>
        </w:tc>
        <w:tc>
          <w:tcPr>
            <w:tcW w:w="2693" w:type="dxa"/>
          </w:tcPr>
          <w:p w14:paraId="1313066C" w14:textId="77777777" w:rsidR="00DD1403" w:rsidRPr="005D5A25" w:rsidRDefault="00DD1403" w:rsidP="006F1C5F">
            <w:pPr>
              <w:pStyle w:val="CMSExhibit7"/>
              <w:ind w:left="0"/>
            </w:pPr>
          </w:p>
        </w:tc>
      </w:tr>
      <w:tr w:rsidR="0087750C" w14:paraId="39335B79" w14:textId="77777777" w:rsidTr="006F1C5F">
        <w:tc>
          <w:tcPr>
            <w:tcW w:w="3794" w:type="dxa"/>
          </w:tcPr>
          <w:p w14:paraId="4514EB69" w14:textId="7D2FD05B" w:rsidR="0087750C" w:rsidRDefault="0087750C" w:rsidP="0087750C">
            <w:pPr>
              <w:pStyle w:val="CMSExhibit7"/>
              <w:ind w:left="0"/>
              <w:jc w:val="left"/>
            </w:pPr>
            <w:r>
              <w:t xml:space="preserve">Sonstige </w:t>
            </w:r>
            <w:r w:rsidRPr="00C67646">
              <w:t>Personengesellschaften</w:t>
            </w:r>
          </w:p>
        </w:tc>
        <w:tc>
          <w:tcPr>
            <w:tcW w:w="2693" w:type="dxa"/>
          </w:tcPr>
          <w:p w14:paraId="4E980637" w14:textId="77777777" w:rsidR="0087750C" w:rsidRPr="005D5A25" w:rsidRDefault="0087750C" w:rsidP="0087750C">
            <w:pPr>
              <w:pStyle w:val="CMSExhibit7"/>
              <w:ind w:left="0"/>
            </w:pPr>
          </w:p>
        </w:tc>
      </w:tr>
      <w:tr w:rsidR="00DB6055" w14:paraId="1EC96AED" w14:textId="77777777" w:rsidTr="006F1C5F">
        <w:tc>
          <w:tcPr>
            <w:tcW w:w="3794" w:type="dxa"/>
          </w:tcPr>
          <w:p w14:paraId="5835A2F7" w14:textId="77777777" w:rsidR="00DB6055" w:rsidRPr="005D5A25" w:rsidRDefault="00DB6055" w:rsidP="006F1C5F">
            <w:pPr>
              <w:pStyle w:val="CMSExhibit7"/>
              <w:spacing w:line="240" w:lineRule="auto"/>
              <w:ind w:left="0"/>
              <w:jc w:val="left"/>
            </w:pPr>
            <w:r w:rsidRPr="005D5A25">
              <w:t>Öffentliche Hand</w:t>
            </w:r>
          </w:p>
        </w:tc>
        <w:tc>
          <w:tcPr>
            <w:tcW w:w="2693" w:type="dxa"/>
          </w:tcPr>
          <w:p w14:paraId="1CB9CBBA" w14:textId="3BB12656" w:rsidR="00DB6055" w:rsidRPr="005D5A25" w:rsidRDefault="00DB6055" w:rsidP="006F1C5F">
            <w:pPr>
              <w:pStyle w:val="CMSExhibit7"/>
              <w:spacing w:line="240" w:lineRule="auto"/>
              <w:ind w:left="0"/>
            </w:pPr>
          </w:p>
        </w:tc>
      </w:tr>
      <w:tr w:rsidR="00DB6055" w14:paraId="2F113928" w14:textId="77777777" w:rsidTr="006F1C5F">
        <w:tc>
          <w:tcPr>
            <w:tcW w:w="3794" w:type="dxa"/>
          </w:tcPr>
          <w:p w14:paraId="3017BD19" w14:textId="77777777" w:rsidR="00DB6055" w:rsidRPr="005D5A25" w:rsidRDefault="00DB6055" w:rsidP="006F1C5F">
            <w:pPr>
              <w:pStyle w:val="CMSExhibit7"/>
              <w:spacing w:line="240" w:lineRule="auto"/>
              <w:ind w:left="0"/>
              <w:jc w:val="left"/>
            </w:pPr>
            <w:r w:rsidRPr="005D5A25">
              <w:t>Investoren</w:t>
            </w:r>
          </w:p>
        </w:tc>
        <w:tc>
          <w:tcPr>
            <w:tcW w:w="2693" w:type="dxa"/>
          </w:tcPr>
          <w:p w14:paraId="19BE2800" w14:textId="16188790" w:rsidR="00DB6055" w:rsidRPr="005D5A25" w:rsidRDefault="00DB6055" w:rsidP="006F1C5F">
            <w:pPr>
              <w:pStyle w:val="CMSExhibit7"/>
              <w:spacing w:line="240" w:lineRule="auto"/>
              <w:ind w:left="0"/>
            </w:pPr>
          </w:p>
        </w:tc>
      </w:tr>
      <w:tr w:rsidR="00DB6055" w14:paraId="0F4AFEB3" w14:textId="77777777" w:rsidTr="006F1C5F">
        <w:tc>
          <w:tcPr>
            <w:tcW w:w="3794" w:type="dxa"/>
          </w:tcPr>
          <w:p w14:paraId="42CA6D00" w14:textId="19479970" w:rsidR="00DB6055" w:rsidRPr="005D5A25" w:rsidRDefault="0010752C" w:rsidP="006F1C5F">
            <w:pPr>
              <w:pStyle w:val="CMSExhibit7"/>
              <w:spacing w:line="240" w:lineRule="auto"/>
              <w:ind w:left="0"/>
              <w:jc w:val="left"/>
            </w:pPr>
            <w:r w:rsidRPr="005D5A25">
              <w:t>Stiftungen</w:t>
            </w:r>
          </w:p>
        </w:tc>
        <w:tc>
          <w:tcPr>
            <w:tcW w:w="2693" w:type="dxa"/>
          </w:tcPr>
          <w:p w14:paraId="6AC47F0D" w14:textId="46156A04" w:rsidR="00DB6055" w:rsidRPr="005D5A25" w:rsidRDefault="00DB6055" w:rsidP="006F1C5F">
            <w:pPr>
              <w:pStyle w:val="CMSExhibit7"/>
              <w:spacing w:line="240" w:lineRule="auto"/>
              <w:ind w:left="0"/>
            </w:pPr>
          </w:p>
        </w:tc>
      </w:tr>
      <w:tr w:rsidR="00DD1403" w14:paraId="39722CE6" w14:textId="77777777" w:rsidTr="006F1C5F">
        <w:tc>
          <w:tcPr>
            <w:tcW w:w="3794" w:type="dxa"/>
          </w:tcPr>
          <w:p w14:paraId="30B09096" w14:textId="2E592687" w:rsidR="00DD1403" w:rsidRPr="005D5A25" w:rsidRDefault="00DD1403" w:rsidP="006F1C5F">
            <w:pPr>
              <w:pStyle w:val="CMSExhibit7"/>
              <w:ind w:left="0"/>
              <w:jc w:val="left"/>
            </w:pPr>
            <w:r>
              <w:t>Vereine</w:t>
            </w:r>
          </w:p>
        </w:tc>
        <w:tc>
          <w:tcPr>
            <w:tcW w:w="2693" w:type="dxa"/>
          </w:tcPr>
          <w:p w14:paraId="00A79E57" w14:textId="77777777" w:rsidR="00DD1403" w:rsidRPr="005D5A25" w:rsidRDefault="00DD1403" w:rsidP="006F1C5F">
            <w:pPr>
              <w:pStyle w:val="CMSExhibit7"/>
              <w:ind w:left="0"/>
            </w:pPr>
          </w:p>
        </w:tc>
      </w:tr>
      <w:tr w:rsidR="00DC0BA9" w14:paraId="0CA66899" w14:textId="77777777" w:rsidTr="006F1C5F">
        <w:tc>
          <w:tcPr>
            <w:tcW w:w="3794" w:type="dxa"/>
          </w:tcPr>
          <w:p w14:paraId="637C8D99" w14:textId="7E46266C" w:rsidR="00DC0BA9" w:rsidRPr="005D5A25" w:rsidRDefault="0010752C" w:rsidP="006F1C5F">
            <w:pPr>
              <w:pStyle w:val="CMSExhibit7"/>
              <w:spacing w:line="240" w:lineRule="auto"/>
              <w:ind w:left="0"/>
              <w:jc w:val="left"/>
            </w:pPr>
            <w:r w:rsidRPr="005D5A25">
              <w:t>Fonds</w:t>
            </w:r>
          </w:p>
        </w:tc>
        <w:tc>
          <w:tcPr>
            <w:tcW w:w="2693" w:type="dxa"/>
          </w:tcPr>
          <w:p w14:paraId="3C510E82" w14:textId="3E90F8F7" w:rsidR="00DC0BA9" w:rsidRPr="005D5A25" w:rsidRDefault="00DC0BA9" w:rsidP="006F1C5F">
            <w:pPr>
              <w:pStyle w:val="CMSExhibit7"/>
              <w:spacing w:line="240" w:lineRule="auto"/>
              <w:ind w:left="0"/>
            </w:pPr>
          </w:p>
        </w:tc>
      </w:tr>
      <w:tr w:rsidR="0010752C" w14:paraId="091824BD" w14:textId="77777777" w:rsidTr="006F1C5F">
        <w:tc>
          <w:tcPr>
            <w:tcW w:w="3794" w:type="dxa"/>
          </w:tcPr>
          <w:p w14:paraId="46F34FDB" w14:textId="6024486C" w:rsidR="0010752C" w:rsidRPr="005D5A25" w:rsidRDefault="00460F2D" w:rsidP="006F1C5F">
            <w:pPr>
              <w:pStyle w:val="CMSExhibit7"/>
              <w:spacing w:line="240" w:lineRule="auto"/>
              <w:ind w:left="0"/>
              <w:jc w:val="left"/>
            </w:pPr>
            <w:r w:rsidRPr="005D5A25">
              <w:t>Trusts</w:t>
            </w:r>
          </w:p>
        </w:tc>
        <w:tc>
          <w:tcPr>
            <w:tcW w:w="2693" w:type="dxa"/>
          </w:tcPr>
          <w:p w14:paraId="7F4B5C12" w14:textId="5AABE994" w:rsidR="0010752C" w:rsidRPr="005D5A25" w:rsidRDefault="0010752C" w:rsidP="006F1C5F">
            <w:pPr>
              <w:pStyle w:val="CMSExhibit7"/>
              <w:spacing w:line="240" w:lineRule="auto"/>
              <w:ind w:left="0"/>
            </w:pPr>
          </w:p>
        </w:tc>
      </w:tr>
      <w:tr w:rsidR="00DD1403" w14:paraId="5DA28D20" w14:textId="77777777" w:rsidTr="006F1C5F">
        <w:tc>
          <w:tcPr>
            <w:tcW w:w="3794" w:type="dxa"/>
          </w:tcPr>
          <w:p w14:paraId="07C24093" w14:textId="53DF7BEE" w:rsidR="00DD1403" w:rsidRPr="005D5A25" w:rsidRDefault="00DD1403" w:rsidP="006F1C5F">
            <w:pPr>
              <w:pStyle w:val="CMSExhibit7"/>
              <w:ind w:left="0"/>
              <w:jc w:val="left"/>
            </w:pPr>
            <w:r>
              <w:t>ausländische Gesellschaftsformen (z.B. Ltd., etc.)</w:t>
            </w:r>
          </w:p>
        </w:tc>
        <w:tc>
          <w:tcPr>
            <w:tcW w:w="2693" w:type="dxa"/>
          </w:tcPr>
          <w:p w14:paraId="4233F09D" w14:textId="77777777" w:rsidR="00DD1403" w:rsidRPr="005D5A25" w:rsidRDefault="00DD1403" w:rsidP="006F1C5F">
            <w:pPr>
              <w:pStyle w:val="CMSExhibit7"/>
              <w:ind w:left="0"/>
            </w:pPr>
          </w:p>
        </w:tc>
      </w:tr>
      <w:tr w:rsidR="00E06A24" w14:paraId="31E14884" w14:textId="77777777" w:rsidTr="006F1C5F">
        <w:tc>
          <w:tcPr>
            <w:tcW w:w="3794" w:type="dxa"/>
          </w:tcPr>
          <w:p w14:paraId="3E35D1EE" w14:textId="09012B02" w:rsidR="00E06A24" w:rsidRPr="005D5A25" w:rsidRDefault="00BA2603" w:rsidP="006F1C5F">
            <w:pPr>
              <w:pStyle w:val="CMSExhibit7"/>
              <w:spacing w:line="240" w:lineRule="auto"/>
              <w:ind w:left="0"/>
              <w:jc w:val="left"/>
            </w:pPr>
            <w:r w:rsidRPr="005D5A25">
              <w:t>Unternehmen mit nominellen Anteilseignern / Inhaberpapieren</w:t>
            </w:r>
            <w:r w:rsidR="0044195C">
              <w:t xml:space="preserve"> (vgl. Anlage 2 GwG</w:t>
            </w:r>
            <w:r w:rsidR="009A5177" w:rsidRPr="006F1C5F">
              <w:t xml:space="preserve">) </w:t>
            </w:r>
          </w:p>
        </w:tc>
        <w:tc>
          <w:tcPr>
            <w:tcW w:w="2693" w:type="dxa"/>
          </w:tcPr>
          <w:p w14:paraId="31C37160" w14:textId="102CC868" w:rsidR="00E06A24" w:rsidRPr="005D5A25" w:rsidRDefault="00E06A24" w:rsidP="006F1C5F">
            <w:pPr>
              <w:pStyle w:val="CMSExhibit7"/>
              <w:spacing w:line="240" w:lineRule="auto"/>
              <w:ind w:left="0"/>
            </w:pPr>
          </w:p>
        </w:tc>
      </w:tr>
    </w:tbl>
    <w:p w14:paraId="5FCCB2FF" w14:textId="5A1AC83E" w:rsidR="00BC7B99" w:rsidRDefault="00BC7B99" w:rsidP="00387C48">
      <w:pPr>
        <w:pStyle w:val="CMSExhibit7"/>
        <w:ind w:left="0"/>
      </w:pPr>
    </w:p>
    <w:p w14:paraId="76BAFCFA" w14:textId="1238B192" w:rsidR="0051416C" w:rsidRDefault="00DC0BA9">
      <w:pPr>
        <w:pStyle w:val="CMSExhibit7"/>
      </w:pPr>
      <w:r>
        <w:lastRenderedPageBreak/>
        <w:t xml:space="preserve">Die Risikoexposition kann im Ergebnis für alle Mandantengruppen als </w:t>
      </w:r>
      <w:r w:rsidR="00B12B42">
        <w:t xml:space="preserve">insgesamt </w:t>
      </w:r>
      <w:r w:rsidR="00F35C67">
        <w:t>[</w:t>
      </w:r>
      <w:r>
        <w:t>gering</w:t>
      </w:r>
      <w:r w:rsidR="00F35C67">
        <w:t>/mittel bis niedrig/mittel bis hoch/hoch]</w:t>
      </w:r>
      <w:r>
        <w:t xml:space="preserve"> eingestuft werden. </w:t>
      </w:r>
      <w:r w:rsidR="00F35C67">
        <w:t xml:space="preserve">[Beispiel:] </w:t>
      </w:r>
      <w:r>
        <w:t xml:space="preserve">Nur in wenigen Fällen ist ein Mandant selbst als Politisch exponierte Person (PEP) eingestuft, </w:t>
      </w:r>
      <w:r w:rsidR="00942024">
        <w:t xml:space="preserve">oder ein wirtschaftlich Berechtigter des Mandanten, </w:t>
      </w:r>
      <w:r>
        <w:t xml:space="preserve">was grundsätzlich </w:t>
      </w:r>
      <w:r w:rsidR="00942024">
        <w:t xml:space="preserve">in beiden Fällen </w:t>
      </w:r>
      <w:r>
        <w:t xml:space="preserve">zu einer hohen Risikoeinstufung führt. </w:t>
      </w:r>
      <w:r w:rsidR="00970F06">
        <w:t xml:space="preserve">Ein erhöhtes Risiko kann zudem in Einzelfällen juristischen Personen beigemessen werden, deren Eigentümerstruktur </w:t>
      </w:r>
      <w:r w:rsidR="00CC1CF0">
        <w:t xml:space="preserve">sich als </w:t>
      </w:r>
      <w:r w:rsidR="00970F06">
        <w:t xml:space="preserve">komplex </w:t>
      </w:r>
      <w:r w:rsidR="00CC1CF0">
        <w:t xml:space="preserve">herausstellt </w:t>
      </w:r>
      <w:r w:rsidR="00970F06">
        <w:t xml:space="preserve">und </w:t>
      </w:r>
      <w:r w:rsidR="00BC52DC">
        <w:t xml:space="preserve">wenn </w:t>
      </w:r>
      <w:r w:rsidR="00970F06">
        <w:t xml:space="preserve">die Identifizierung des wirtschaftlich Berechtigten </w:t>
      </w:r>
      <w:r w:rsidR="00CC1CF0">
        <w:t>sich als schwierig erweist</w:t>
      </w:r>
      <w:r w:rsidR="00970F06">
        <w:t xml:space="preserve">. </w:t>
      </w:r>
    </w:p>
    <w:p w14:paraId="7754B46A" w14:textId="77777777" w:rsidR="00460F2D" w:rsidRDefault="00460F2D" w:rsidP="002E09A2">
      <w:pPr>
        <w:pStyle w:val="CMSExhibit7"/>
      </w:pPr>
    </w:p>
    <w:p w14:paraId="5A924168" w14:textId="712F7AFC" w:rsidR="007A369A" w:rsidRDefault="00F813DA" w:rsidP="006F1C5F">
      <w:pPr>
        <w:pStyle w:val="CMSHeading4"/>
      </w:pPr>
      <w:bookmarkStart w:id="3" w:name="_Hlk194492792"/>
      <w:r>
        <w:t>Zusammenfassung Mandantenstruktur</w:t>
      </w:r>
    </w:p>
    <w:p w14:paraId="48AF81C8" w14:textId="5A2F081D" w:rsidR="000E1FEB" w:rsidRDefault="005034DB" w:rsidP="00387C48">
      <w:pPr>
        <w:pStyle w:val="CMSExhibit7"/>
      </w:pPr>
      <w:r>
        <w:t xml:space="preserve">In der Gesamtbetrachtung unter Berücksichtigung der geographischen, mandantenspezifischen und länderspezifischen Risiken deutet die Mandantenstruktur  </w:t>
      </w:r>
      <w:r w:rsidR="00107DDB">
        <w:t>insgesamt</w:t>
      </w:r>
      <w:r w:rsidR="00BF2987">
        <w:t xml:space="preserve"> darauf hin, dass das Risiko des Missbrauchs der </w:t>
      </w:r>
      <w:r w:rsidR="00C65700">
        <w:t>Partnerschaft</w:t>
      </w:r>
      <w:r w:rsidR="00BF2987">
        <w:t xml:space="preserve"> für die Zwecke der Terrorismusfinanzierung oder der Geldwäsche als </w:t>
      </w:r>
      <w:r w:rsidR="00E1456E">
        <w:t xml:space="preserve">[niedrig/mittel bis niedrig/mittel bis </w:t>
      </w:r>
      <w:r w:rsidR="00E4225C">
        <w:t xml:space="preserve">hoch/hoch] </w:t>
      </w:r>
      <w:r w:rsidR="00BF2987">
        <w:t>einzustufen ist.</w:t>
      </w:r>
    </w:p>
    <w:bookmarkEnd w:id="3"/>
    <w:p w14:paraId="3BE7DE0D" w14:textId="013FB847" w:rsidR="005E6E95" w:rsidRDefault="000E1FEB" w:rsidP="006F1C5F">
      <w:pPr>
        <w:pStyle w:val="CMSExhibit7"/>
        <w:ind w:left="0"/>
      </w:pPr>
      <w:r w:rsidRPr="00ED73E5">
        <w:rPr>
          <w:b/>
        </w:rPr>
        <w:t>4.</w:t>
      </w:r>
      <w:r w:rsidRPr="00ED73E5">
        <w:rPr>
          <w:b/>
        </w:rPr>
        <w:tab/>
        <w:t>Mandatsstruktur (Geschäftsrisiko)</w:t>
      </w:r>
    </w:p>
    <w:p w14:paraId="34A0E81A" w14:textId="048D3258" w:rsidR="006763B1" w:rsidRPr="002433E4" w:rsidRDefault="006763B1" w:rsidP="00ED73E5">
      <w:pPr>
        <w:pStyle w:val="CMSHeading3"/>
        <w:numPr>
          <w:ilvl w:val="0"/>
          <w:numId w:val="0"/>
        </w:numPr>
        <w:rPr>
          <w:b w:val="0"/>
        </w:rPr>
      </w:pPr>
    </w:p>
    <w:p w14:paraId="52D6EFC1" w14:textId="1D3E3EDE" w:rsidR="00280E07" w:rsidRDefault="007E0C76" w:rsidP="001426D9">
      <w:pPr>
        <w:pStyle w:val="CMSExhibit7"/>
      </w:pPr>
      <w:r>
        <w:rPr>
          <w:i/>
        </w:rPr>
        <w:t>Beispielsfrau &amp; Mustermann</w:t>
      </w:r>
      <w:r w:rsidR="00537671" w:rsidRPr="00964329">
        <w:rPr>
          <w:i/>
        </w:rPr>
        <w:t xml:space="preserve"> </w:t>
      </w:r>
      <w:r w:rsidR="008F2FCE">
        <w:t>ist in allen Bereichen des Wirtschaftsrechts tätig</w:t>
      </w:r>
      <w:r w:rsidR="000E11C1">
        <w:t xml:space="preserve">, </w:t>
      </w:r>
      <w:r w:rsidR="00A90C48">
        <w:t xml:space="preserve">die Beratungsleistungen umfassen </w:t>
      </w:r>
      <w:r w:rsidR="000E11C1">
        <w:t xml:space="preserve">insgesamt </w:t>
      </w:r>
      <w:r w:rsidR="00817B7D">
        <w:t xml:space="preserve">x </w:t>
      </w:r>
      <w:r w:rsidR="000E11C1">
        <w:t>Tätigkeitsbereiche.</w:t>
      </w:r>
      <w:r w:rsidR="002433E4">
        <w:t xml:space="preserve"> </w:t>
      </w:r>
      <w:r w:rsidR="008F2FCE">
        <w:t xml:space="preserve">Die drei größten Tätigkeitsfelder sind </w:t>
      </w:r>
      <w:r w:rsidR="00537671" w:rsidRPr="00E146EC">
        <w:rPr>
          <w:i/>
        </w:rPr>
        <w:t>Tätigkeitsfeld 1</w:t>
      </w:r>
      <w:r w:rsidR="00537671">
        <w:t xml:space="preserve">, </w:t>
      </w:r>
      <w:r w:rsidR="00537671" w:rsidRPr="00E146EC">
        <w:rPr>
          <w:i/>
        </w:rPr>
        <w:t>Tätigkeitsfeld 2</w:t>
      </w:r>
      <w:r w:rsidR="00537671">
        <w:t xml:space="preserve"> und </w:t>
      </w:r>
      <w:r w:rsidR="00537671" w:rsidRPr="00E146EC">
        <w:rPr>
          <w:i/>
        </w:rPr>
        <w:t>Tätigkeitsfeld 3</w:t>
      </w:r>
      <w:r w:rsidR="008F2FCE">
        <w:t xml:space="preserve">. </w:t>
      </w:r>
      <w:r w:rsidR="00B16A58">
        <w:t>Vom GwG erfasst und relevant sind  n</w:t>
      </w:r>
      <w:r w:rsidR="00710ADB">
        <w:t>ur</w:t>
      </w:r>
      <w:r w:rsidR="002433E4">
        <w:t xml:space="preserve"> </w:t>
      </w:r>
      <w:r w:rsidR="00710ADB">
        <w:t>bestimmte Mandatstypen</w:t>
      </w:r>
      <w:r w:rsidR="00B16A58">
        <w:t xml:space="preserve">, </w:t>
      </w:r>
      <w:r w:rsidR="00C34BCD">
        <w:t xml:space="preserve">bei denen der Gesetzgeber  </w:t>
      </w:r>
      <w:r w:rsidR="00B16A58">
        <w:t xml:space="preserve">nur für die sog. </w:t>
      </w:r>
      <w:r w:rsidR="0087750C">
        <w:t xml:space="preserve">Katalogtätigkeiten </w:t>
      </w:r>
      <w:r w:rsidR="00B16A58">
        <w:t>gemäß § 2 Abs. 1 Nr. 10 GwG eine</w:t>
      </w:r>
      <w:r w:rsidR="00A30DC0">
        <w:t xml:space="preserve"> Identifizierung des Vertragspartners</w:t>
      </w:r>
      <w:r w:rsidR="00C34BCD">
        <w:t xml:space="preserve"> und eines evtl. wirtschaftlich Berechtigten</w:t>
      </w:r>
      <w:r w:rsidR="00A30DC0">
        <w:t xml:space="preserve"> </w:t>
      </w:r>
      <w:r w:rsidR="00322AFD">
        <w:t>erfordert</w:t>
      </w:r>
      <w:r w:rsidR="00A30DC0">
        <w:t xml:space="preserve">. </w:t>
      </w:r>
    </w:p>
    <w:p w14:paraId="6C92B1AC" w14:textId="2DA25AD2" w:rsidR="001426D9" w:rsidRDefault="00FD05D3" w:rsidP="001426D9">
      <w:pPr>
        <w:pStyle w:val="CMSExhibit7"/>
      </w:pPr>
      <w:r>
        <w:t xml:space="preserve">Bei </w:t>
      </w:r>
      <w:r w:rsidR="007E0C76">
        <w:rPr>
          <w:i/>
        </w:rPr>
        <w:t>Beispielsfrau &amp; Mustermann</w:t>
      </w:r>
      <w:r w:rsidR="00537671" w:rsidRPr="00964329">
        <w:rPr>
          <w:i/>
        </w:rPr>
        <w:t xml:space="preserve"> </w:t>
      </w:r>
      <w:r>
        <w:t>sind dies im Wesentlichen Mandate wie</w:t>
      </w:r>
      <w:r w:rsidR="00710ADB">
        <w:t xml:space="preserve"> Unternehmenskäufe, Immobilientransaktionen</w:t>
      </w:r>
      <w:r w:rsidR="0039253E">
        <w:t xml:space="preserve"> sowie</w:t>
      </w:r>
      <w:r w:rsidR="00710ADB">
        <w:t xml:space="preserve"> Grü</w:t>
      </w:r>
      <w:r w:rsidR="0039253E">
        <w:t xml:space="preserve">ndungs- und Finanzierungsberatung. </w:t>
      </w:r>
      <w:r w:rsidR="001426D9">
        <w:t xml:space="preserve">Die Anzahl der </w:t>
      </w:r>
      <w:r w:rsidR="00C338D8">
        <w:t>Mandate</w:t>
      </w:r>
      <w:r w:rsidR="001426D9">
        <w:t xml:space="preserve">, die im Zeitraum Januar </w:t>
      </w:r>
      <w:r w:rsidR="00C338D8">
        <w:t>XXX</w:t>
      </w:r>
      <w:r w:rsidR="00382705">
        <w:t>X</w:t>
      </w:r>
      <w:r w:rsidR="001426D9">
        <w:t xml:space="preserve"> bis </w:t>
      </w:r>
      <w:r w:rsidR="001C254F">
        <w:t>Dezember</w:t>
      </w:r>
      <w:r w:rsidR="001426D9">
        <w:t xml:space="preserve"> </w:t>
      </w:r>
      <w:r w:rsidR="00C338D8">
        <w:t>XXX</w:t>
      </w:r>
      <w:r w:rsidR="00382705">
        <w:t>X</w:t>
      </w:r>
      <w:r w:rsidR="001426D9">
        <w:t xml:space="preserve"> als sog. Katalogmandate angelegt wurden, belief sich auf </w:t>
      </w:r>
      <w:r w:rsidR="00537671">
        <w:t>XXX</w:t>
      </w:r>
      <w:r w:rsidR="001426D9">
        <w:t xml:space="preserve">. </w:t>
      </w:r>
      <w:r w:rsidR="000E0E74">
        <w:br w:type="textWrapping" w:clear="all"/>
      </w:r>
      <w:r w:rsidR="001426D9">
        <w:t xml:space="preserve">Dies entspricht ca. </w:t>
      </w:r>
      <w:r w:rsidR="00537671">
        <w:t>XX</w:t>
      </w:r>
      <w:r w:rsidR="00382705">
        <w:t xml:space="preserve"> </w:t>
      </w:r>
      <w:r w:rsidR="001426D9">
        <w:t>% aller in diesem Zeitraum angelegten Akten.</w:t>
      </w:r>
    </w:p>
    <w:p w14:paraId="26DC4B7E" w14:textId="02A7D7D9" w:rsidR="004E508A" w:rsidRDefault="00280E07" w:rsidP="00667881">
      <w:pPr>
        <w:pStyle w:val="CMSExhibit7"/>
      </w:pPr>
      <w:r>
        <w:t>Weite Teile dieser Beratungsgebiete sind nicht als Kataloggeschäfte</w:t>
      </w:r>
      <w:r w:rsidR="00F35C67">
        <w:t>/Katalogtätigkeiten</w:t>
      </w:r>
      <w:r>
        <w:t xml:space="preserve"> einzustufen (z.B. Prozessführung, Marken- und Wettbewerbsrecht, Arbeitsrecht</w:t>
      </w:r>
      <w:r w:rsidR="00F35C67">
        <w:t>, Verkehrsrecht, Mietrecht, Sozialrecht, Betreuungsrecht, Strafrecht, Familienrecht, Erbrecht</w:t>
      </w:r>
      <w:r>
        <w:t xml:space="preserve">). </w:t>
      </w:r>
    </w:p>
    <w:p w14:paraId="4F494239" w14:textId="56D83DEE" w:rsidR="00A57347" w:rsidRDefault="00280E07" w:rsidP="005E6E95">
      <w:pPr>
        <w:pStyle w:val="CMSExhibit7"/>
      </w:pPr>
      <w:r>
        <w:t xml:space="preserve">Die von </w:t>
      </w:r>
      <w:r w:rsidR="007E0C76">
        <w:rPr>
          <w:i/>
        </w:rPr>
        <w:t>Beispielsfrau &amp; Mustermann</w:t>
      </w:r>
      <w:r w:rsidR="00537671" w:rsidRPr="00964329">
        <w:rPr>
          <w:i/>
        </w:rPr>
        <w:t xml:space="preserve"> </w:t>
      </w:r>
      <w:r>
        <w:t>angebotenen Beratungsleistungen</w:t>
      </w:r>
      <w:r w:rsidR="0044195C">
        <w:t xml:space="preserve"> </w:t>
      </w:r>
      <w:r>
        <w:t>im Überblick:</w:t>
      </w:r>
    </w:p>
    <w:p w14:paraId="373E629E" w14:textId="77777777" w:rsidR="00A57347" w:rsidRDefault="00A57347" w:rsidP="005E6E95">
      <w:pPr>
        <w:pStyle w:val="CMSExhibit7"/>
      </w:pPr>
    </w:p>
    <w:tbl>
      <w:tblPr>
        <w:tblStyle w:val="Tabellenraster"/>
        <w:tblW w:w="0" w:type="auto"/>
        <w:tblInd w:w="567" w:type="dxa"/>
        <w:tblLook w:val="04A0" w:firstRow="1" w:lastRow="0" w:firstColumn="1" w:lastColumn="0" w:noHBand="0" w:noVBand="1"/>
      </w:tblPr>
      <w:tblGrid>
        <w:gridCol w:w="3794"/>
        <w:gridCol w:w="2835"/>
      </w:tblGrid>
      <w:tr w:rsidR="00310B42" w14:paraId="26A0B1DA" w14:textId="77777777" w:rsidTr="006F1C5F">
        <w:tc>
          <w:tcPr>
            <w:tcW w:w="3794" w:type="dxa"/>
          </w:tcPr>
          <w:p w14:paraId="3129679D" w14:textId="44EA25A5" w:rsidR="00310B42" w:rsidRPr="006F1C5F" w:rsidRDefault="00310B42" w:rsidP="006F1C5F">
            <w:pPr>
              <w:pStyle w:val="CMSExhibit7"/>
              <w:spacing w:line="240" w:lineRule="auto"/>
              <w:ind w:left="0"/>
              <w:jc w:val="left"/>
              <w:rPr>
                <w:b/>
              </w:rPr>
            </w:pPr>
            <w:r w:rsidRPr="006F1C5F">
              <w:rPr>
                <w:b/>
              </w:rPr>
              <w:t>Tätigkeitsbereich</w:t>
            </w:r>
          </w:p>
        </w:tc>
        <w:tc>
          <w:tcPr>
            <w:tcW w:w="2835" w:type="dxa"/>
          </w:tcPr>
          <w:p w14:paraId="5E4F6348" w14:textId="2EE50E8F" w:rsidR="00310B42" w:rsidRPr="006F1C5F" w:rsidRDefault="00E56E76" w:rsidP="006F1C5F">
            <w:pPr>
              <w:pStyle w:val="CMSExhibit7"/>
              <w:spacing w:line="240" w:lineRule="auto"/>
              <w:ind w:left="0"/>
              <w:rPr>
                <w:b/>
              </w:rPr>
            </w:pPr>
            <w:proofErr w:type="spellStart"/>
            <w:r w:rsidRPr="005D5A25">
              <w:rPr>
                <w:b/>
              </w:rPr>
              <w:t>pot</w:t>
            </w:r>
            <w:proofErr w:type="spellEnd"/>
            <w:r w:rsidRPr="005D5A25">
              <w:rPr>
                <w:b/>
              </w:rPr>
              <w:t xml:space="preserve">. </w:t>
            </w:r>
            <w:r w:rsidR="00310B42" w:rsidRPr="006F1C5F">
              <w:rPr>
                <w:b/>
              </w:rPr>
              <w:t>Risikoeinschätzung</w:t>
            </w:r>
          </w:p>
        </w:tc>
      </w:tr>
      <w:tr w:rsidR="00310B42" w14:paraId="74D5C92A" w14:textId="77777777" w:rsidTr="006F1C5F">
        <w:tc>
          <w:tcPr>
            <w:tcW w:w="3794" w:type="dxa"/>
          </w:tcPr>
          <w:p w14:paraId="7DD3B2DC" w14:textId="2B8A8E85" w:rsidR="00310B42" w:rsidRPr="005D5A25" w:rsidRDefault="00817B7D" w:rsidP="00E146EC">
            <w:pPr>
              <w:pStyle w:val="CMSExhibit7"/>
              <w:spacing w:line="240" w:lineRule="auto"/>
              <w:ind w:left="0"/>
              <w:jc w:val="left"/>
            </w:pPr>
            <w:proofErr w:type="gramStart"/>
            <w:r>
              <w:t>Tätigkeitsfeld  1</w:t>
            </w:r>
            <w:proofErr w:type="gramEnd"/>
          </w:p>
        </w:tc>
        <w:tc>
          <w:tcPr>
            <w:tcW w:w="2835" w:type="dxa"/>
          </w:tcPr>
          <w:p w14:paraId="32800893" w14:textId="5D0951CA" w:rsidR="00310B42" w:rsidRPr="005D5A25" w:rsidRDefault="00E1456E" w:rsidP="006F1C5F">
            <w:pPr>
              <w:pStyle w:val="CMSExhibit7"/>
              <w:spacing w:line="240" w:lineRule="auto"/>
              <w:ind w:left="0"/>
            </w:pPr>
            <w:r>
              <w:t>niedrig</w:t>
            </w:r>
          </w:p>
        </w:tc>
      </w:tr>
      <w:tr w:rsidR="00310B42" w14:paraId="053B1ED7" w14:textId="77777777" w:rsidTr="006F1C5F">
        <w:tc>
          <w:tcPr>
            <w:tcW w:w="3794" w:type="dxa"/>
          </w:tcPr>
          <w:p w14:paraId="48934153" w14:textId="7D8A572F" w:rsidR="00310B42" w:rsidRPr="005D5A25" w:rsidRDefault="00817B7D" w:rsidP="006F1C5F">
            <w:pPr>
              <w:pStyle w:val="CMSExhibit7"/>
              <w:spacing w:line="240" w:lineRule="auto"/>
              <w:ind w:left="0"/>
              <w:jc w:val="left"/>
            </w:pPr>
            <w:r>
              <w:t>Bereich 2</w:t>
            </w:r>
          </w:p>
        </w:tc>
        <w:tc>
          <w:tcPr>
            <w:tcW w:w="2835" w:type="dxa"/>
          </w:tcPr>
          <w:p w14:paraId="6663297A" w14:textId="49938C26" w:rsidR="00310B42" w:rsidRPr="005D5A25" w:rsidRDefault="00E1456E" w:rsidP="006F1C5F">
            <w:pPr>
              <w:pStyle w:val="CMSExhibit7"/>
              <w:spacing w:line="240" w:lineRule="auto"/>
              <w:ind w:left="0"/>
            </w:pPr>
            <w:r>
              <w:t>mittel bis hoch</w:t>
            </w:r>
          </w:p>
        </w:tc>
      </w:tr>
    </w:tbl>
    <w:p w14:paraId="487E5255" w14:textId="77777777" w:rsidR="00A57347" w:rsidRDefault="00A57347" w:rsidP="008F6406">
      <w:pPr>
        <w:pStyle w:val="CMSExhibit7"/>
        <w:ind w:left="0"/>
        <w:rPr>
          <w:lang w:val="en-US"/>
        </w:rPr>
      </w:pPr>
    </w:p>
    <w:p w14:paraId="172DDE24" w14:textId="437ED70E" w:rsidR="00310E7B" w:rsidRDefault="0071141F" w:rsidP="001B5386">
      <w:pPr>
        <w:pStyle w:val="CMSExhibit7"/>
        <w:spacing w:after="120"/>
      </w:pPr>
      <w:r>
        <w:lastRenderedPageBreak/>
        <w:t>Das Unternehmen/</w:t>
      </w:r>
      <w:r w:rsidR="00310E7B">
        <w:t>Kanzlei hat im Jahre XXXX insgesamt XX Kataloggeschäfte</w:t>
      </w:r>
      <w:r w:rsidR="00F35C67">
        <w:t>/Katalogtätigkeiten</w:t>
      </w:r>
      <w:r w:rsidR="00310E7B">
        <w:t xml:space="preserve"> </w:t>
      </w:r>
      <w:proofErr w:type="spellStart"/>
      <w:r w:rsidR="00310E7B">
        <w:t>i.S.d</w:t>
      </w:r>
      <w:proofErr w:type="spellEnd"/>
      <w:r w:rsidR="00310E7B">
        <w:t>. § 2 Abs. 1 Nr. 10 GwG betreut. Dabei handelte es sich um folgende Kataloggeschäfte</w:t>
      </w:r>
      <w:r w:rsidR="00F35C67">
        <w:t>/Katalogtätigkeiten</w:t>
      </w:r>
      <w:r w:rsidR="00310E7B">
        <w:t>:]</w:t>
      </w:r>
    </w:p>
    <w:p w14:paraId="70320FA3" w14:textId="77777777" w:rsidR="000E0E74" w:rsidRDefault="000E0E74" w:rsidP="001B5386">
      <w:pPr>
        <w:pStyle w:val="CMSExhibit7"/>
        <w:spacing w:after="120"/>
      </w:pPr>
    </w:p>
    <w:tbl>
      <w:tblPr>
        <w:tblStyle w:val="Tabellenraster"/>
        <w:tblW w:w="0" w:type="auto"/>
        <w:tblInd w:w="567" w:type="dxa"/>
        <w:tblLook w:val="04A0" w:firstRow="1" w:lastRow="0" w:firstColumn="1" w:lastColumn="0" w:noHBand="0" w:noVBand="1"/>
      </w:tblPr>
      <w:tblGrid>
        <w:gridCol w:w="4403"/>
        <w:gridCol w:w="4234"/>
      </w:tblGrid>
      <w:tr w:rsidR="00310E7B" w14:paraId="4E366764" w14:textId="77777777" w:rsidTr="00ED73E5">
        <w:tc>
          <w:tcPr>
            <w:tcW w:w="4403" w:type="dxa"/>
          </w:tcPr>
          <w:p w14:paraId="0B5FA8A0" w14:textId="7529A749" w:rsidR="001B5386" w:rsidRPr="00ED73E5" w:rsidRDefault="001B5386" w:rsidP="00ED73E5">
            <w:pPr>
              <w:pStyle w:val="CMSExhibit7"/>
              <w:ind w:left="0"/>
              <w:jc w:val="center"/>
              <w:rPr>
                <w:b/>
              </w:rPr>
            </w:pPr>
            <w:r w:rsidRPr="00ED73E5">
              <w:rPr>
                <w:b/>
              </w:rPr>
              <w:t>Kataloggeschäft</w:t>
            </w:r>
            <w:r>
              <w:rPr>
                <w:b/>
              </w:rPr>
              <w:t>(e)</w:t>
            </w:r>
            <w:r w:rsidR="00013546">
              <w:rPr>
                <w:b/>
              </w:rPr>
              <w:t xml:space="preserve"> nach § 2 Abs. Nr. 10 </w:t>
            </w:r>
            <w:proofErr w:type="spellStart"/>
            <w:r w:rsidR="00013546">
              <w:rPr>
                <w:b/>
              </w:rPr>
              <w:t>lit</w:t>
            </w:r>
            <w:proofErr w:type="spellEnd"/>
            <w:r w:rsidR="00013546">
              <w:rPr>
                <w:b/>
              </w:rPr>
              <w:t>. a) GwG</w:t>
            </w:r>
          </w:p>
        </w:tc>
        <w:tc>
          <w:tcPr>
            <w:tcW w:w="4234" w:type="dxa"/>
          </w:tcPr>
          <w:p w14:paraId="6FD4B526" w14:textId="6041597D" w:rsidR="001B5386" w:rsidRPr="00ED73E5" w:rsidRDefault="001B5386" w:rsidP="00ED73E5">
            <w:pPr>
              <w:pStyle w:val="CMSExhibit7"/>
              <w:ind w:left="0"/>
              <w:jc w:val="center"/>
              <w:rPr>
                <w:b/>
              </w:rPr>
            </w:pPr>
            <w:r w:rsidRPr="00ED73E5">
              <w:rPr>
                <w:b/>
              </w:rPr>
              <w:t>Anzahl</w:t>
            </w:r>
          </w:p>
        </w:tc>
      </w:tr>
      <w:tr w:rsidR="00310E7B" w14:paraId="4A887B36" w14:textId="77777777" w:rsidTr="00ED73E5">
        <w:tc>
          <w:tcPr>
            <w:tcW w:w="4403" w:type="dxa"/>
          </w:tcPr>
          <w:p w14:paraId="18295972" w14:textId="5B2E4FDC" w:rsidR="001B5386" w:rsidRDefault="001B5386" w:rsidP="001B5386">
            <w:pPr>
              <w:pStyle w:val="CMSExhibit7"/>
              <w:ind w:left="0"/>
            </w:pPr>
            <w:r>
              <w:t xml:space="preserve">Kauf- und Verkauf von Immobilien (§ 2 Abs. 1 Nr. 10 </w:t>
            </w:r>
            <w:proofErr w:type="spellStart"/>
            <w:r>
              <w:t>lit</w:t>
            </w:r>
            <w:proofErr w:type="spellEnd"/>
            <w:r>
              <w:t xml:space="preserve">. a) </w:t>
            </w:r>
            <w:proofErr w:type="spellStart"/>
            <w:r>
              <w:t>sublit</w:t>
            </w:r>
            <w:proofErr w:type="spellEnd"/>
            <w:r>
              <w:t xml:space="preserve">. </w:t>
            </w:r>
            <w:proofErr w:type="spellStart"/>
            <w:r>
              <w:t>aa</w:t>
            </w:r>
            <w:proofErr w:type="spellEnd"/>
            <w:r>
              <w:t>) 1. Alt. GwG</w:t>
            </w:r>
          </w:p>
        </w:tc>
        <w:tc>
          <w:tcPr>
            <w:tcW w:w="4234" w:type="dxa"/>
          </w:tcPr>
          <w:p w14:paraId="05593665" w14:textId="6999A39E" w:rsidR="001B5386" w:rsidRDefault="001B5386" w:rsidP="00ED73E5">
            <w:pPr>
              <w:pStyle w:val="CMSExhibit7"/>
              <w:ind w:left="0"/>
              <w:jc w:val="center"/>
            </w:pPr>
            <w:r>
              <w:t>0</w:t>
            </w:r>
          </w:p>
        </w:tc>
      </w:tr>
      <w:tr w:rsidR="00310E7B" w14:paraId="5F0F8B93" w14:textId="77777777" w:rsidTr="00ED73E5">
        <w:tc>
          <w:tcPr>
            <w:tcW w:w="4403" w:type="dxa"/>
          </w:tcPr>
          <w:p w14:paraId="70EB9B22" w14:textId="4626D7B7" w:rsidR="001B5386" w:rsidRDefault="001B5386" w:rsidP="001B5386">
            <w:pPr>
              <w:pStyle w:val="CMSExhibit7"/>
              <w:ind w:left="0"/>
            </w:pPr>
            <w:r>
              <w:t xml:space="preserve">Kauf- und Verkauf von Gewerbebetrieben (§ 2 Abs. 1 Nr. 10 </w:t>
            </w:r>
            <w:proofErr w:type="spellStart"/>
            <w:r>
              <w:t>lit</w:t>
            </w:r>
            <w:proofErr w:type="spellEnd"/>
            <w:r>
              <w:t xml:space="preserve">. a) </w:t>
            </w:r>
            <w:proofErr w:type="spellStart"/>
            <w:r>
              <w:t>sublit</w:t>
            </w:r>
            <w:proofErr w:type="spellEnd"/>
            <w:r>
              <w:t xml:space="preserve">. </w:t>
            </w:r>
            <w:proofErr w:type="spellStart"/>
            <w:r>
              <w:t>aa</w:t>
            </w:r>
            <w:proofErr w:type="spellEnd"/>
            <w:r>
              <w:t>) 2. Alt. GwG</w:t>
            </w:r>
          </w:p>
        </w:tc>
        <w:tc>
          <w:tcPr>
            <w:tcW w:w="4234" w:type="dxa"/>
          </w:tcPr>
          <w:p w14:paraId="19AB635C" w14:textId="1ABA9699" w:rsidR="001B5386" w:rsidRDefault="001B5386" w:rsidP="00ED73E5">
            <w:pPr>
              <w:pStyle w:val="CMSExhibit7"/>
              <w:ind w:left="0"/>
              <w:jc w:val="center"/>
            </w:pPr>
            <w:r>
              <w:t>0</w:t>
            </w:r>
          </w:p>
        </w:tc>
      </w:tr>
      <w:tr w:rsidR="00310E7B" w14:paraId="24CB2F3E" w14:textId="77777777" w:rsidTr="00ED73E5">
        <w:tc>
          <w:tcPr>
            <w:tcW w:w="4403" w:type="dxa"/>
          </w:tcPr>
          <w:p w14:paraId="726A675B" w14:textId="03301FBC" w:rsidR="001B5386" w:rsidRDefault="001B5386" w:rsidP="001B5386">
            <w:pPr>
              <w:pStyle w:val="CMSExhibit7"/>
              <w:ind w:left="0"/>
            </w:pPr>
            <w:r>
              <w:t xml:space="preserve">Verwaltung von Geld (§ 2 Abs. 1 Nr. 10 </w:t>
            </w:r>
            <w:proofErr w:type="spellStart"/>
            <w:r>
              <w:t>lit</w:t>
            </w:r>
            <w:proofErr w:type="spellEnd"/>
            <w:r>
              <w:t xml:space="preserve">. a) </w:t>
            </w:r>
            <w:proofErr w:type="spellStart"/>
            <w:r>
              <w:t>sublit</w:t>
            </w:r>
            <w:proofErr w:type="spellEnd"/>
            <w:r>
              <w:t xml:space="preserve">. </w:t>
            </w:r>
            <w:proofErr w:type="spellStart"/>
            <w:r>
              <w:t>bb</w:t>
            </w:r>
            <w:proofErr w:type="spellEnd"/>
            <w:r>
              <w:t>), 1. Alt. GwG)</w:t>
            </w:r>
          </w:p>
        </w:tc>
        <w:tc>
          <w:tcPr>
            <w:tcW w:w="4234" w:type="dxa"/>
          </w:tcPr>
          <w:p w14:paraId="770C0FE8" w14:textId="3FD9EBC9" w:rsidR="001B5386" w:rsidRDefault="001B5386" w:rsidP="00ED73E5">
            <w:pPr>
              <w:pStyle w:val="CMSExhibit7"/>
              <w:ind w:left="0"/>
              <w:jc w:val="center"/>
            </w:pPr>
            <w:r>
              <w:t>0</w:t>
            </w:r>
          </w:p>
        </w:tc>
      </w:tr>
      <w:tr w:rsidR="00310E7B" w14:paraId="602E249B" w14:textId="77777777" w:rsidTr="00ED73E5">
        <w:tc>
          <w:tcPr>
            <w:tcW w:w="4403" w:type="dxa"/>
          </w:tcPr>
          <w:p w14:paraId="21E03006" w14:textId="239006C6" w:rsidR="001B5386" w:rsidRDefault="001B5386" w:rsidP="001B5386">
            <w:pPr>
              <w:pStyle w:val="CMSExhibit7"/>
              <w:ind w:left="0"/>
            </w:pPr>
            <w:r>
              <w:t xml:space="preserve">Verwaltung von Wertpapieren (§ 2 Abs. 1 Nr. 10 </w:t>
            </w:r>
            <w:proofErr w:type="spellStart"/>
            <w:r>
              <w:t>lit</w:t>
            </w:r>
            <w:proofErr w:type="spellEnd"/>
            <w:r>
              <w:t xml:space="preserve">. a) </w:t>
            </w:r>
            <w:proofErr w:type="spellStart"/>
            <w:r>
              <w:t>sublit</w:t>
            </w:r>
            <w:proofErr w:type="spellEnd"/>
            <w:r>
              <w:t xml:space="preserve">. </w:t>
            </w:r>
            <w:proofErr w:type="spellStart"/>
            <w:r>
              <w:t>bb</w:t>
            </w:r>
            <w:proofErr w:type="spellEnd"/>
            <w:r>
              <w:t>), 2. Alt. GwG)</w:t>
            </w:r>
          </w:p>
        </w:tc>
        <w:tc>
          <w:tcPr>
            <w:tcW w:w="4234" w:type="dxa"/>
          </w:tcPr>
          <w:p w14:paraId="309F0922" w14:textId="26375AA2" w:rsidR="001B5386" w:rsidRDefault="001B5386" w:rsidP="00ED73E5">
            <w:pPr>
              <w:pStyle w:val="CMSExhibit7"/>
              <w:ind w:left="0"/>
              <w:jc w:val="center"/>
            </w:pPr>
            <w:r>
              <w:t>0</w:t>
            </w:r>
          </w:p>
        </w:tc>
      </w:tr>
      <w:tr w:rsidR="00310E7B" w14:paraId="69A7E545" w14:textId="77777777" w:rsidTr="00ED73E5">
        <w:tc>
          <w:tcPr>
            <w:tcW w:w="4403" w:type="dxa"/>
          </w:tcPr>
          <w:p w14:paraId="653F448B" w14:textId="78E0129E" w:rsidR="001B5386" w:rsidRDefault="001B5386" w:rsidP="001B5386">
            <w:pPr>
              <w:pStyle w:val="CMSExhibit7"/>
              <w:ind w:left="0"/>
            </w:pPr>
            <w:r>
              <w:t xml:space="preserve">Verwaltung von sonstigen Vermögenswerten (§ 2 Abs. 1 Nr. 10 </w:t>
            </w:r>
            <w:proofErr w:type="spellStart"/>
            <w:r>
              <w:t>lit</w:t>
            </w:r>
            <w:proofErr w:type="spellEnd"/>
            <w:r>
              <w:t xml:space="preserve">. a) </w:t>
            </w:r>
            <w:proofErr w:type="spellStart"/>
            <w:r>
              <w:t>sublit</w:t>
            </w:r>
            <w:proofErr w:type="spellEnd"/>
            <w:r>
              <w:t xml:space="preserve">. </w:t>
            </w:r>
            <w:proofErr w:type="spellStart"/>
            <w:r>
              <w:t>bb</w:t>
            </w:r>
            <w:proofErr w:type="spellEnd"/>
            <w:r>
              <w:t>), 3. Alt. GwG)</w:t>
            </w:r>
          </w:p>
        </w:tc>
        <w:tc>
          <w:tcPr>
            <w:tcW w:w="4234" w:type="dxa"/>
          </w:tcPr>
          <w:p w14:paraId="47357A76" w14:textId="349CBFCF" w:rsidR="001B5386" w:rsidRDefault="001B5386" w:rsidP="00ED73E5">
            <w:pPr>
              <w:pStyle w:val="CMSExhibit7"/>
              <w:ind w:left="0"/>
              <w:jc w:val="center"/>
            </w:pPr>
            <w:r>
              <w:t>0</w:t>
            </w:r>
          </w:p>
        </w:tc>
      </w:tr>
      <w:tr w:rsidR="00310E7B" w14:paraId="198915BA" w14:textId="77777777" w:rsidTr="00ED73E5">
        <w:tc>
          <w:tcPr>
            <w:tcW w:w="4403" w:type="dxa"/>
          </w:tcPr>
          <w:p w14:paraId="69137130" w14:textId="22EE72B7" w:rsidR="001B5386" w:rsidRDefault="001B5386" w:rsidP="001B5386">
            <w:pPr>
              <w:pStyle w:val="CMSExhibit7"/>
              <w:ind w:left="0"/>
            </w:pPr>
            <w:r>
              <w:t xml:space="preserve">Eröffnung von Bankkonten (§ 2 Abs. 1 Nr. 10 </w:t>
            </w:r>
            <w:proofErr w:type="spellStart"/>
            <w:r>
              <w:t>lit</w:t>
            </w:r>
            <w:proofErr w:type="spellEnd"/>
            <w:r>
              <w:t xml:space="preserve">. a) </w:t>
            </w:r>
            <w:proofErr w:type="spellStart"/>
            <w:r>
              <w:t>sublit</w:t>
            </w:r>
            <w:proofErr w:type="spellEnd"/>
            <w:r>
              <w:t>. cc), 1. Alt. GwG)</w:t>
            </w:r>
          </w:p>
        </w:tc>
        <w:tc>
          <w:tcPr>
            <w:tcW w:w="4234" w:type="dxa"/>
          </w:tcPr>
          <w:p w14:paraId="29EA3893" w14:textId="7C77428F" w:rsidR="001B5386" w:rsidRDefault="001B5386" w:rsidP="00ED73E5">
            <w:pPr>
              <w:pStyle w:val="CMSExhibit7"/>
              <w:ind w:left="0"/>
              <w:jc w:val="center"/>
            </w:pPr>
            <w:r>
              <w:t>0</w:t>
            </w:r>
          </w:p>
        </w:tc>
      </w:tr>
      <w:tr w:rsidR="00310E7B" w14:paraId="056149B4" w14:textId="77777777" w:rsidTr="00ED73E5">
        <w:tc>
          <w:tcPr>
            <w:tcW w:w="4403" w:type="dxa"/>
          </w:tcPr>
          <w:p w14:paraId="3B134E7F" w14:textId="07AD021E" w:rsidR="001B5386" w:rsidRDefault="001B5386" w:rsidP="001B5386">
            <w:pPr>
              <w:pStyle w:val="CMSExhibit7"/>
              <w:ind w:left="0"/>
            </w:pPr>
            <w:r>
              <w:t xml:space="preserve">Eröffnung von Sparkonten (§ 2 Abs. 1 Nr. 10 </w:t>
            </w:r>
            <w:proofErr w:type="spellStart"/>
            <w:r>
              <w:t>lit</w:t>
            </w:r>
            <w:proofErr w:type="spellEnd"/>
            <w:r>
              <w:t xml:space="preserve">. a) </w:t>
            </w:r>
            <w:proofErr w:type="spellStart"/>
            <w:r>
              <w:t>sublit</w:t>
            </w:r>
            <w:proofErr w:type="spellEnd"/>
            <w:r>
              <w:t>. cc), 2. Alt. GwG)</w:t>
            </w:r>
          </w:p>
        </w:tc>
        <w:tc>
          <w:tcPr>
            <w:tcW w:w="4234" w:type="dxa"/>
          </w:tcPr>
          <w:p w14:paraId="6EB73460" w14:textId="06416A67" w:rsidR="001B5386" w:rsidRDefault="001B5386" w:rsidP="00ED73E5">
            <w:pPr>
              <w:pStyle w:val="CMSExhibit7"/>
              <w:ind w:left="0"/>
              <w:jc w:val="center"/>
            </w:pPr>
            <w:r>
              <w:t>0</w:t>
            </w:r>
          </w:p>
        </w:tc>
      </w:tr>
      <w:tr w:rsidR="001B5386" w14:paraId="4588871D" w14:textId="77777777" w:rsidTr="00ED73E5">
        <w:tc>
          <w:tcPr>
            <w:tcW w:w="4403" w:type="dxa"/>
          </w:tcPr>
          <w:p w14:paraId="638F1A62" w14:textId="1701AEE6" w:rsidR="001B5386" w:rsidRDefault="001B5386" w:rsidP="001B5386">
            <w:pPr>
              <w:pStyle w:val="CMSExhibit7"/>
              <w:ind w:left="0"/>
            </w:pPr>
            <w:r>
              <w:t xml:space="preserve">Eröffnung von Wertpapierkonten (§ 2 Abs. 1 Nr. 10 </w:t>
            </w:r>
            <w:proofErr w:type="spellStart"/>
            <w:r>
              <w:t>lit</w:t>
            </w:r>
            <w:proofErr w:type="spellEnd"/>
            <w:r>
              <w:t xml:space="preserve">. a) </w:t>
            </w:r>
            <w:proofErr w:type="spellStart"/>
            <w:r>
              <w:t>sublit</w:t>
            </w:r>
            <w:proofErr w:type="spellEnd"/>
            <w:r>
              <w:t>. cc), 3. Alt. GwG)</w:t>
            </w:r>
          </w:p>
        </w:tc>
        <w:tc>
          <w:tcPr>
            <w:tcW w:w="4234" w:type="dxa"/>
          </w:tcPr>
          <w:p w14:paraId="03F412F9" w14:textId="169BAE0A" w:rsidR="001B5386" w:rsidRDefault="001B5386" w:rsidP="001B5386">
            <w:pPr>
              <w:pStyle w:val="CMSExhibit7"/>
              <w:ind w:left="0"/>
              <w:jc w:val="center"/>
            </w:pPr>
            <w:r>
              <w:t>0</w:t>
            </w:r>
          </w:p>
        </w:tc>
      </w:tr>
      <w:tr w:rsidR="001B5386" w14:paraId="649736D1" w14:textId="77777777" w:rsidTr="00ED73E5">
        <w:tc>
          <w:tcPr>
            <w:tcW w:w="4403" w:type="dxa"/>
          </w:tcPr>
          <w:p w14:paraId="21B44744" w14:textId="134240E3" w:rsidR="001B5386" w:rsidRDefault="001B5386" w:rsidP="001B5386">
            <w:pPr>
              <w:pStyle w:val="CMSExhibit7"/>
              <w:ind w:left="0"/>
            </w:pPr>
            <w:r>
              <w:t xml:space="preserve">Verwaltung von Bankkonten (§ 2 Abs. 1 Nr. 10 </w:t>
            </w:r>
            <w:proofErr w:type="spellStart"/>
            <w:r>
              <w:t>lit</w:t>
            </w:r>
            <w:proofErr w:type="spellEnd"/>
            <w:r>
              <w:t xml:space="preserve">. a) </w:t>
            </w:r>
            <w:proofErr w:type="spellStart"/>
            <w:r>
              <w:t>sublit</w:t>
            </w:r>
            <w:proofErr w:type="spellEnd"/>
            <w:r>
              <w:t>. cc), 4. Alt. GwG)</w:t>
            </w:r>
          </w:p>
        </w:tc>
        <w:tc>
          <w:tcPr>
            <w:tcW w:w="4234" w:type="dxa"/>
          </w:tcPr>
          <w:p w14:paraId="1C1ECC7A" w14:textId="6D706715" w:rsidR="001B5386" w:rsidRDefault="001B5386" w:rsidP="001B5386">
            <w:pPr>
              <w:pStyle w:val="CMSExhibit7"/>
              <w:ind w:left="0"/>
              <w:jc w:val="center"/>
            </w:pPr>
            <w:r>
              <w:t>0</w:t>
            </w:r>
          </w:p>
        </w:tc>
      </w:tr>
      <w:tr w:rsidR="001B5386" w14:paraId="632E8C75" w14:textId="77777777" w:rsidTr="00ED73E5">
        <w:tc>
          <w:tcPr>
            <w:tcW w:w="4403" w:type="dxa"/>
          </w:tcPr>
          <w:p w14:paraId="7BE4FD40" w14:textId="58D73C20" w:rsidR="001B5386" w:rsidRDefault="001B5386" w:rsidP="001B5386">
            <w:pPr>
              <w:pStyle w:val="CMSExhibit7"/>
              <w:ind w:left="0"/>
            </w:pPr>
            <w:r>
              <w:t xml:space="preserve">Verwaltung von Wertpapierkonten (§ 2 Abs. 1 Nr. 10 </w:t>
            </w:r>
            <w:proofErr w:type="spellStart"/>
            <w:r>
              <w:t>lit</w:t>
            </w:r>
            <w:proofErr w:type="spellEnd"/>
            <w:r>
              <w:t xml:space="preserve">. a) </w:t>
            </w:r>
            <w:proofErr w:type="spellStart"/>
            <w:r>
              <w:t>sublit</w:t>
            </w:r>
            <w:proofErr w:type="spellEnd"/>
            <w:r>
              <w:t>. cc), 5. Alt. GwG)</w:t>
            </w:r>
          </w:p>
        </w:tc>
        <w:tc>
          <w:tcPr>
            <w:tcW w:w="4234" w:type="dxa"/>
          </w:tcPr>
          <w:p w14:paraId="1AD47238" w14:textId="0C2F8C57" w:rsidR="001B5386" w:rsidRDefault="001B5386" w:rsidP="001B5386">
            <w:pPr>
              <w:pStyle w:val="CMSExhibit7"/>
              <w:ind w:left="0"/>
              <w:jc w:val="center"/>
            </w:pPr>
            <w:r>
              <w:t>0</w:t>
            </w:r>
          </w:p>
        </w:tc>
      </w:tr>
      <w:tr w:rsidR="001B5386" w14:paraId="0E357923" w14:textId="77777777" w:rsidTr="00ED73E5">
        <w:tc>
          <w:tcPr>
            <w:tcW w:w="4403" w:type="dxa"/>
          </w:tcPr>
          <w:p w14:paraId="47EC517F" w14:textId="182E2548" w:rsidR="001B5386" w:rsidRDefault="001B5386" w:rsidP="001B5386">
            <w:pPr>
              <w:pStyle w:val="CMSExhibit7"/>
              <w:ind w:left="0"/>
            </w:pPr>
            <w:r>
              <w:t xml:space="preserve">Verwaltung von sonstigen Vermögenswerten (§ 2 Abs. 1 Nr. 10 </w:t>
            </w:r>
            <w:proofErr w:type="spellStart"/>
            <w:r>
              <w:t>lit</w:t>
            </w:r>
            <w:proofErr w:type="spellEnd"/>
            <w:r>
              <w:t xml:space="preserve">. a) </w:t>
            </w:r>
            <w:proofErr w:type="spellStart"/>
            <w:r>
              <w:t>sublit</w:t>
            </w:r>
            <w:proofErr w:type="spellEnd"/>
            <w:r>
              <w:t>. cc), 6. Alt. GwG)</w:t>
            </w:r>
          </w:p>
        </w:tc>
        <w:tc>
          <w:tcPr>
            <w:tcW w:w="4234" w:type="dxa"/>
          </w:tcPr>
          <w:p w14:paraId="4FFF3F8A" w14:textId="172794E3" w:rsidR="001B5386" w:rsidRDefault="001B5386" w:rsidP="001B5386">
            <w:pPr>
              <w:pStyle w:val="CMSExhibit7"/>
              <w:ind w:left="0"/>
              <w:jc w:val="center"/>
            </w:pPr>
            <w:r>
              <w:t>0</w:t>
            </w:r>
          </w:p>
        </w:tc>
      </w:tr>
      <w:tr w:rsidR="001B5386" w14:paraId="2E120727" w14:textId="77777777" w:rsidTr="00ED73E5">
        <w:tc>
          <w:tcPr>
            <w:tcW w:w="4403" w:type="dxa"/>
          </w:tcPr>
          <w:p w14:paraId="2FC4FAAD" w14:textId="3891BBC6" w:rsidR="001B5386" w:rsidRDefault="001B5386" w:rsidP="001B5386">
            <w:pPr>
              <w:pStyle w:val="CMSExhibit7"/>
              <w:ind w:left="0"/>
            </w:pPr>
            <w:r>
              <w:lastRenderedPageBreak/>
              <w:t xml:space="preserve">Beschaffung der zur Gründung von Gesellschaften erforderlichen Mittel (§ 2 Abs. 1 Nr. 10 </w:t>
            </w:r>
            <w:proofErr w:type="spellStart"/>
            <w:r>
              <w:t>lit</w:t>
            </w:r>
            <w:proofErr w:type="spellEnd"/>
            <w:r>
              <w:t xml:space="preserve">. a) </w:t>
            </w:r>
            <w:proofErr w:type="spellStart"/>
            <w:r>
              <w:t>sublit</w:t>
            </w:r>
            <w:proofErr w:type="spellEnd"/>
            <w:r>
              <w:t xml:space="preserve">. </w:t>
            </w:r>
            <w:proofErr w:type="spellStart"/>
            <w:r>
              <w:t>dd</w:t>
            </w:r>
            <w:proofErr w:type="spellEnd"/>
            <w:r>
              <w:t>), 1. Alt. GwG)</w:t>
            </w:r>
          </w:p>
        </w:tc>
        <w:tc>
          <w:tcPr>
            <w:tcW w:w="4234" w:type="dxa"/>
          </w:tcPr>
          <w:p w14:paraId="32D19A1D" w14:textId="6487938B" w:rsidR="001B5386" w:rsidRDefault="001B5386" w:rsidP="001B5386">
            <w:pPr>
              <w:pStyle w:val="CMSExhibit7"/>
              <w:ind w:left="0"/>
              <w:jc w:val="center"/>
            </w:pPr>
            <w:r>
              <w:t>0</w:t>
            </w:r>
          </w:p>
        </w:tc>
      </w:tr>
      <w:tr w:rsidR="001B5386" w14:paraId="2459F41C" w14:textId="77777777" w:rsidTr="00ED73E5">
        <w:tc>
          <w:tcPr>
            <w:tcW w:w="4403" w:type="dxa"/>
          </w:tcPr>
          <w:p w14:paraId="5DD0C265" w14:textId="72DCC354" w:rsidR="001B5386" w:rsidRDefault="001B5386" w:rsidP="001B5386">
            <w:pPr>
              <w:pStyle w:val="CMSExhibit7"/>
              <w:ind w:left="0"/>
            </w:pPr>
            <w:r>
              <w:t xml:space="preserve">Beschaffung der zum Betrieb von Gesellschaften erforderlichen Mittel (§ 2 Abs. 1 Nr. 10 </w:t>
            </w:r>
            <w:proofErr w:type="spellStart"/>
            <w:r>
              <w:t>lit</w:t>
            </w:r>
            <w:proofErr w:type="spellEnd"/>
            <w:r>
              <w:t xml:space="preserve">. a) </w:t>
            </w:r>
            <w:proofErr w:type="spellStart"/>
            <w:r>
              <w:t>sublit</w:t>
            </w:r>
            <w:proofErr w:type="spellEnd"/>
            <w:r>
              <w:t xml:space="preserve">. </w:t>
            </w:r>
            <w:proofErr w:type="spellStart"/>
            <w:r>
              <w:t>dd</w:t>
            </w:r>
            <w:proofErr w:type="spellEnd"/>
            <w:r>
              <w:t>), 2. Alt. GwG)</w:t>
            </w:r>
          </w:p>
        </w:tc>
        <w:tc>
          <w:tcPr>
            <w:tcW w:w="4234" w:type="dxa"/>
          </w:tcPr>
          <w:p w14:paraId="2CBE8751" w14:textId="4034157C" w:rsidR="001B5386" w:rsidRDefault="001B5386" w:rsidP="001B5386">
            <w:pPr>
              <w:pStyle w:val="CMSExhibit7"/>
              <w:ind w:left="0"/>
              <w:jc w:val="center"/>
            </w:pPr>
            <w:r>
              <w:t>0</w:t>
            </w:r>
          </w:p>
        </w:tc>
      </w:tr>
      <w:tr w:rsidR="001B5386" w14:paraId="1124CFBD" w14:textId="77777777" w:rsidTr="00ED73E5">
        <w:tc>
          <w:tcPr>
            <w:tcW w:w="4403" w:type="dxa"/>
          </w:tcPr>
          <w:p w14:paraId="67BF8ADA" w14:textId="61E9EB87" w:rsidR="001B5386" w:rsidRDefault="001B5386" w:rsidP="001B5386">
            <w:pPr>
              <w:pStyle w:val="CMSExhibit7"/>
              <w:ind w:left="0"/>
            </w:pPr>
            <w:r>
              <w:t xml:space="preserve">Beschaffung der zur Verwaltung von Gesellschaften erforderlichen Mittel (§ 2 Abs. 1 Nr. 10 </w:t>
            </w:r>
            <w:proofErr w:type="spellStart"/>
            <w:r>
              <w:t>lit</w:t>
            </w:r>
            <w:proofErr w:type="spellEnd"/>
            <w:r>
              <w:t xml:space="preserve">. a) </w:t>
            </w:r>
            <w:proofErr w:type="spellStart"/>
            <w:r>
              <w:t>sublit</w:t>
            </w:r>
            <w:proofErr w:type="spellEnd"/>
            <w:r>
              <w:t xml:space="preserve">. </w:t>
            </w:r>
            <w:proofErr w:type="spellStart"/>
            <w:r>
              <w:t>dd</w:t>
            </w:r>
            <w:proofErr w:type="spellEnd"/>
            <w:r>
              <w:t>), 1. Alt. GwG)</w:t>
            </w:r>
          </w:p>
        </w:tc>
        <w:tc>
          <w:tcPr>
            <w:tcW w:w="4234" w:type="dxa"/>
          </w:tcPr>
          <w:p w14:paraId="3A3EAAA2" w14:textId="292915A8" w:rsidR="001B5386" w:rsidRDefault="001B5386" w:rsidP="001B5386">
            <w:pPr>
              <w:pStyle w:val="CMSExhibit7"/>
              <w:ind w:left="0"/>
              <w:jc w:val="center"/>
            </w:pPr>
            <w:r>
              <w:t>0</w:t>
            </w:r>
          </w:p>
        </w:tc>
      </w:tr>
      <w:tr w:rsidR="001B5386" w14:paraId="5E77ADC1" w14:textId="77777777" w:rsidTr="00ED73E5">
        <w:tc>
          <w:tcPr>
            <w:tcW w:w="4403" w:type="dxa"/>
          </w:tcPr>
          <w:p w14:paraId="4C4232B1" w14:textId="046AC39C" w:rsidR="001B5386" w:rsidRDefault="00A85EC7" w:rsidP="00A85EC7">
            <w:pPr>
              <w:pStyle w:val="CMSExhibit7"/>
              <w:ind w:left="0"/>
            </w:pPr>
            <w:r>
              <w:t xml:space="preserve">Gründung von Treuhandgesellschaften (§ 2 Abs. 1 Nr. 10 </w:t>
            </w:r>
            <w:proofErr w:type="spellStart"/>
            <w:r>
              <w:t>lit</w:t>
            </w:r>
            <w:proofErr w:type="spellEnd"/>
            <w:r>
              <w:t xml:space="preserve">. a) </w:t>
            </w:r>
            <w:proofErr w:type="spellStart"/>
            <w:r>
              <w:t>sublit</w:t>
            </w:r>
            <w:proofErr w:type="spellEnd"/>
            <w:r>
              <w:t xml:space="preserve">. </w:t>
            </w:r>
            <w:proofErr w:type="spellStart"/>
            <w:r>
              <w:t>ee</w:t>
            </w:r>
            <w:proofErr w:type="spellEnd"/>
            <w:r>
              <w:t>), 1. Alt. GwG)</w:t>
            </w:r>
          </w:p>
        </w:tc>
        <w:tc>
          <w:tcPr>
            <w:tcW w:w="4234" w:type="dxa"/>
          </w:tcPr>
          <w:p w14:paraId="229F9083" w14:textId="35D8F61B" w:rsidR="001B5386" w:rsidRDefault="00A85EC7" w:rsidP="001B5386">
            <w:pPr>
              <w:pStyle w:val="CMSExhibit7"/>
              <w:ind w:left="0"/>
              <w:jc w:val="center"/>
            </w:pPr>
            <w:r>
              <w:t>0</w:t>
            </w:r>
          </w:p>
        </w:tc>
      </w:tr>
      <w:tr w:rsidR="00A85EC7" w14:paraId="257662EC" w14:textId="77777777" w:rsidTr="00ED73E5">
        <w:tc>
          <w:tcPr>
            <w:tcW w:w="4403" w:type="dxa"/>
          </w:tcPr>
          <w:p w14:paraId="6489CB61" w14:textId="0FD507CC" w:rsidR="00A85EC7" w:rsidRDefault="00A85EC7" w:rsidP="00A85EC7">
            <w:pPr>
              <w:pStyle w:val="CMSExhibit7"/>
              <w:ind w:left="0"/>
            </w:pPr>
            <w:r>
              <w:t xml:space="preserve">Gründung von Gesellschaften (§ 2 Abs. 1 Nr. 10 </w:t>
            </w:r>
            <w:proofErr w:type="spellStart"/>
            <w:r>
              <w:t>lit</w:t>
            </w:r>
            <w:proofErr w:type="spellEnd"/>
            <w:r>
              <w:t xml:space="preserve">. a) </w:t>
            </w:r>
            <w:proofErr w:type="spellStart"/>
            <w:r>
              <w:t>sublit</w:t>
            </w:r>
            <w:proofErr w:type="spellEnd"/>
            <w:r>
              <w:t xml:space="preserve">. </w:t>
            </w:r>
            <w:proofErr w:type="spellStart"/>
            <w:r>
              <w:t>ee</w:t>
            </w:r>
            <w:proofErr w:type="spellEnd"/>
            <w:r>
              <w:t>), 2. Alt. GwG)</w:t>
            </w:r>
          </w:p>
        </w:tc>
        <w:tc>
          <w:tcPr>
            <w:tcW w:w="4234" w:type="dxa"/>
          </w:tcPr>
          <w:p w14:paraId="154C26BA" w14:textId="5F663017" w:rsidR="00A85EC7" w:rsidRDefault="00A85EC7" w:rsidP="001B5386">
            <w:pPr>
              <w:pStyle w:val="CMSExhibit7"/>
              <w:ind w:left="0"/>
              <w:jc w:val="center"/>
            </w:pPr>
            <w:r>
              <w:t>0</w:t>
            </w:r>
          </w:p>
        </w:tc>
      </w:tr>
      <w:tr w:rsidR="00A85EC7" w14:paraId="0F5D25C7" w14:textId="77777777" w:rsidTr="00ED73E5">
        <w:tc>
          <w:tcPr>
            <w:tcW w:w="4403" w:type="dxa"/>
          </w:tcPr>
          <w:p w14:paraId="6CA655E7" w14:textId="5FA31D15" w:rsidR="00F06169" w:rsidRDefault="00A85EC7" w:rsidP="00A85EC7">
            <w:pPr>
              <w:pStyle w:val="CMSExhibit7"/>
              <w:ind w:left="0"/>
            </w:pPr>
            <w:r>
              <w:t xml:space="preserve">Gründung von (Treuhandgesellschaften und Gesellschaften) ähnlichen Strukturen </w:t>
            </w:r>
            <w:r>
              <w:br w:type="textWrapping" w:clear="all"/>
              <w:t xml:space="preserve">(§ 2 Abs. 1 Nr. 10 </w:t>
            </w:r>
            <w:proofErr w:type="spellStart"/>
            <w:r>
              <w:t>lit</w:t>
            </w:r>
            <w:proofErr w:type="spellEnd"/>
            <w:r>
              <w:t xml:space="preserve">. a) </w:t>
            </w:r>
            <w:proofErr w:type="spellStart"/>
            <w:r>
              <w:t>sublit</w:t>
            </w:r>
            <w:proofErr w:type="spellEnd"/>
            <w:r>
              <w:t xml:space="preserve">. </w:t>
            </w:r>
            <w:proofErr w:type="spellStart"/>
            <w:r>
              <w:t>ee</w:t>
            </w:r>
            <w:proofErr w:type="spellEnd"/>
            <w:r>
              <w:t>), 1. Alt. GwG)</w:t>
            </w:r>
          </w:p>
        </w:tc>
        <w:tc>
          <w:tcPr>
            <w:tcW w:w="4234" w:type="dxa"/>
          </w:tcPr>
          <w:p w14:paraId="2D619226" w14:textId="77777777" w:rsidR="00E80DBD" w:rsidRDefault="00E80DBD" w:rsidP="001B5386">
            <w:pPr>
              <w:pStyle w:val="CMSExhibit7"/>
              <w:ind w:left="0"/>
              <w:jc w:val="center"/>
            </w:pPr>
          </w:p>
          <w:p w14:paraId="443A65B8" w14:textId="6E4FCABA" w:rsidR="00A85EC7" w:rsidRDefault="00A85EC7" w:rsidP="001B5386">
            <w:pPr>
              <w:pStyle w:val="CMSExhibit7"/>
              <w:ind w:left="0"/>
              <w:jc w:val="center"/>
            </w:pPr>
            <w:r>
              <w:t>0</w:t>
            </w:r>
          </w:p>
        </w:tc>
      </w:tr>
      <w:tr w:rsidR="00013546" w14:paraId="184EED96" w14:textId="77777777" w:rsidTr="00310E7B">
        <w:tc>
          <w:tcPr>
            <w:tcW w:w="4403" w:type="dxa"/>
          </w:tcPr>
          <w:p w14:paraId="73D21744" w14:textId="2A9D567B" w:rsidR="00013546" w:rsidRPr="00ED73E5" w:rsidRDefault="00013546" w:rsidP="00A85EC7">
            <w:pPr>
              <w:pStyle w:val="CMSExhibit7"/>
              <w:ind w:left="0"/>
              <w:rPr>
                <w:b/>
              </w:rPr>
            </w:pPr>
            <w:r w:rsidRPr="00ED73E5">
              <w:rPr>
                <w:b/>
              </w:rPr>
              <w:t xml:space="preserve">Katalogtätigkeiten im Sinne der § 2 Abs. 1 </w:t>
            </w:r>
            <w:proofErr w:type="spellStart"/>
            <w:r w:rsidRPr="00ED73E5">
              <w:rPr>
                <w:b/>
              </w:rPr>
              <w:t>Nr</w:t>
            </w:r>
            <w:proofErr w:type="spellEnd"/>
            <w:r w:rsidRPr="00ED73E5">
              <w:rPr>
                <w:b/>
              </w:rPr>
              <w:t xml:space="preserve"> 10 </w:t>
            </w:r>
            <w:proofErr w:type="spellStart"/>
            <w:r w:rsidRPr="00ED73E5">
              <w:rPr>
                <w:b/>
              </w:rPr>
              <w:t>lit</w:t>
            </w:r>
            <w:proofErr w:type="spellEnd"/>
            <w:r w:rsidRPr="00ED73E5">
              <w:rPr>
                <w:b/>
              </w:rPr>
              <w:t>. b) f</w:t>
            </w:r>
            <w:r>
              <w:rPr>
                <w:b/>
              </w:rPr>
              <w:t>f</w:t>
            </w:r>
            <w:r w:rsidRPr="00ED73E5">
              <w:rPr>
                <w:b/>
              </w:rPr>
              <w:t>. GwG</w:t>
            </w:r>
          </w:p>
        </w:tc>
        <w:tc>
          <w:tcPr>
            <w:tcW w:w="4234" w:type="dxa"/>
          </w:tcPr>
          <w:p w14:paraId="5DD3902D" w14:textId="7B19DF6D" w:rsidR="00013546" w:rsidRPr="00ED73E5" w:rsidRDefault="00013546" w:rsidP="001B5386">
            <w:pPr>
              <w:pStyle w:val="CMSExhibit7"/>
              <w:ind w:left="0"/>
              <w:jc w:val="center"/>
              <w:rPr>
                <w:b/>
              </w:rPr>
            </w:pPr>
            <w:r w:rsidRPr="00ED73E5">
              <w:rPr>
                <w:b/>
              </w:rPr>
              <w:t>Anzahl</w:t>
            </w:r>
          </w:p>
        </w:tc>
      </w:tr>
      <w:tr w:rsidR="00A85EC7" w14:paraId="1F732DFD" w14:textId="77777777" w:rsidTr="00ED73E5">
        <w:tc>
          <w:tcPr>
            <w:tcW w:w="4403" w:type="dxa"/>
          </w:tcPr>
          <w:p w14:paraId="719E5DEA" w14:textId="66F0E482" w:rsidR="00A85EC7" w:rsidRDefault="00A85EC7" w:rsidP="00A85EC7">
            <w:pPr>
              <w:pStyle w:val="CMSExhibit7"/>
              <w:ind w:left="0"/>
            </w:pPr>
            <w:r>
              <w:t xml:space="preserve">Im Namen des Mandanten Finanztransaktionen durchgeführt (§ 2 Abs. 1 Nr. 10 </w:t>
            </w:r>
            <w:proofErr w:type="spellStart"/>
            <w:r>
              <w:t>lit</w:t>
            </w:r>
            <w:proofErr w:type="spellEnd"/>
            <w:r>
              <w:t>. b), 1. Alt. GwG</w:t>
            </w:r>
          </w:p>
        </w:tc>
        <w:tc>
          <w:tcPr>
            <w:tcW w:w="4234" w:type="dxa"/>
          </w:tcPr>
          <w:p w14:paraId="6385CF6B" w14:textId="60FFD48A" w:rsidR="00A85EC7" w:rsidRDefault="00310E7B" w:rsidP="001B5386">
            <w:pPr>
              <w:pStyle w:val="CMSExhibit7"/>
              <w:ind w:left="0"/>
              <w:jc w:val="center"/>
            </w:pPr>
            <w:r>
              <w:t>0</w:t>
            </w:r>
          </w:p>
        </w:tc>
      </w:tr>
      <w:tr w:rsidR="00A85EC7" w14:paraId="06C274A7" w14:textId="77777777" w:rsidTr="00ED73E5">
        <w:tc>
          <w:tcPr>
            <w:tcW w:w="4403" w:type="dxa"/>
          </w:tcPr>
          <w:p w14:paraId="1E38A718" w14:textId="063960FA" w:rsidR="00E80DBD" w:rsidRDefault="00A85EC7" w:rsidP="00A85EC7">
            <w:pPr>
              <w:pStyle w:val="CMSExhibit7"/>
              <w:ind w:left="0"/>
            </w:pPr>
            <w:r>
              <w:t xml:space="preserve">Im Namen des Mandanten Immobilientransaktionen durchgeführt </w:t>
            </w:r>
            <w:r w:rsidR="00310E7B">
              <w:br w:type="textWrapping" w:clear="all"/>
            </w:r>
            <w:r>
              <w:t xml:space="preserve">(§ 2 Abs. 1 Nr. 10 </w:t>
            </w:r>
            <w:proofErr w:type="spellStart"/>
            <w:r>
              <w:t>lit</w:t>
            </w:r>
            <w:proofErr w:type="spellEnd"/>
            <w:r>
              <w:t>. b), 2. Alt. GwG</w:t>
            </w:r>
          </w:p>
        </w:tc>
        <w:tc>
          <w:tcPr>
            <w:tcW w:w="4234" w:type="dxa"/>
          </w:tcPr>
          <w:p w14:paraId="7E6F1696" w14:textId="5189ADEA" w:rsidR="00A85EC7" w:rsidRDefault="00310E7B" w:rsidP="001B5386">
            <w:pPr>
              <w:pStyle w:val="CMSExhibit7"/>
              <w:ind w:left="0"/>
              <w:jc w:val="center"/>
            </w:pPr>
            <w:r>
              <w:t>0</w:t>
            </w:r>
          </w:p>
        </w:tc>
      </w:tr>
      <w:tr w:rsidR="00A85EC7" w14:paraId="6C160428" w14:textId="77777777" w:rsidTr="00ED73E5">
        <w:tc>
          <w:tcPr>
            <w:tcW w:w="4403" w:type="dxa"/>
          </w:tcPr>
          <w:p w14:paraId="75282604" w14:textId="48A76857" w:rsidR="00A85EC7" w:rsidRDefault="00A85EC7" w:rsidP="00A85EC7">
            <w:pPr>
              <w:pStyle w:val="CMSExhibit7"/>
              <w:ind w:left="0"/>
            </w:pPr>
            <w:r>
              <w:t xml:space="preserve">Den Mandanten im Hinblick </w:t>
            </w:r>
            <w:r w:rsidR="00310E7B">
              <w:t>auf dessen Kapitalstruktur, die</w:t>
            </w:r>
            <w:r>
              <w:t xml:space="preserve"> industrielle Strategie oder damit verbundene Frage beraten (§ 2 Abs. 1 Nr. 10 </w:t>
            </w:r>
            <w:proofErr w:type="spellStart"/>
            <w:r>
              <w:t>lit</w:t>
            </w:r>
            <w:proofErr w:type="spellEnd"/>
            <w:r>
              <w:t>. c) GwG</w:t>
            </w:r>
          </w:p>
        </w:tc>
        <w:tc>
          <w:tcPr>
            <w:tcW w:w="4234" w:type="dxa"/>
          </w:tcPr>
          <w:p w14:paraId="7FF07AC8" w14:textId="77777777" w:rsidR="00E80DBD" w:rsidRDefault="00E80DBD" w:rsidP="001B5386">
            <w:pPr>
              <w:pStyle w:val="CMSExhibit7"/>
              <w:ind w:left="0"/>
              <w:jc w:val="center"/>
            </w:pPr>
          </w:p>
          <w:p w14:paraId="2047585F" w14:textId="29E1C68C" w:rsidR="00A85EC7" w:rsidRDefault="00310E7B" w:rsidP="001B5386">
            <w:pPr>
              <w:pStyle w:val="CMSExhibit7"/>
              <w:ind w:left="0"/>
              <w:jc w:val="center"/>
            </w:pPr>
            <w:r>
              <w:t>0</w:t>
            </w:r>
          </w:p>
        </w:tc>
      </w:tr>
      <w:tr w:rsidR="00A85EC7" w14:paraId="4BC26B87" w14:textId="77777777" w:rsidTr="00ED73E5">
        <w:tc>
          <w:tcPr>
            <w:tcW w:w="4403" w:type="dxa"/>
          </w:tcPr>
          <w:p w14:paraId="797AF785" w14:textId="595ABFE6" w:rsidR="00A85EC7" w:rsidRDefault="00A85EC7" w:rsidP="00A85EC7">
            <w:pPr>
              <w:pStyle w:val="CMSExhibit7"/>
              <w:ind w:left="0"/>
            </w:pPr>
            <w:r>
              <w:t>Den Mandanten zu Zusammenschlüssen oder Übernahmen</w:t>
            </w:r>
            <w:r w:rsidR="00310E7B">
              <w:t xml:space="preserve"> beraten oder dahingehende Dienstleistungen erbracht </w:t>
            </w:r>
            <w:r w:rsidR="00310E7B">
              <w:br w:type="textWrapping" w:clear="all"/>
              <w:t xml:space="preserve">(§ 2 Abs. 1 Nr. 10 </w:t>
            </w:r>
            <w:proofErr w:type="spellStart"/>
            <w:r w:rsidR="00310E7B">
              <w:t>lit</w:t>
            </w:r>
            <w:proofErr w:type="spellEnd"/>
            <w:r w:rsidR="00310E7B">
              <w:t>. d</w:t>
            </w:r>
            <w:r>
              <w:t>) GwG</w:t>
            </w:r>
          </w:p>
        </w:tc>
        <w:tc>
          <w:tcPr>
            <w:tcW w:w="4234" w:type="dxa"/>
          </w:tcPr>
          <w:p w14:paraId="7D76A5C5" w14:textId="558AA8D9" w:rsidR="00A85EC7" w:rsidRDefault="00310E7B" w:rsidP="001B5386">
            <w:pPr>
              <w:pStyle w:val="CMSExhibit7"/>
              <w:ind w:left="0"/>
              <w:jc w:val="center"/>
            </w:pPr>
            <w:r>
              <w:t>0</w:t>
            </w:r>
          </w:p>
        </w:tc>
      </w:tr>
      <w:tr w:rsidR="00A85EC7" w14:paraId="293838CA" w14:textId="77777777" w:rsidTr="00ED73E5">
        <w:tc>
          <w:tcPr>
            <w:tcW w:w="4403" w:type="dxa"/>
          </w:tcPr>
          <w:p w14:paraId="5DB1E0EC" w14:textId="465C60F1" w:rsidR="00A85EC7" w:rsidRDefault="00310E7B" w:rsidP="00310E7B">
            <w:pPr>
              <w:pStyle w:val="CMSExhibit7"/>
              <w:ind w:left="0"/>
            </w:pPr>
            <w:r>
              <w:lastRenderedPageBreak/>
              <w:t xml:space="preserve">Gegenüber Mandanten geschäftsmäßig Hilfeleistung in Steuersachen erbracht haben (§ 2 Abs. 1 Nr. 10 </w:t>
            </w:r>
            <w:proofErr w:type="spellStart"/>
            <w:r>
              <w:t>lit</w:t>
            </w:r>
            <w:proofErr w:type="spellEnd"/>
            <w:r>
              <w:t>. c) GwG</w:t>
            </w:r>
          </w:p>
        </w:tc>
        <w:tc>
          <w:tcPr>
            <w:tcW w:w="4234" w:type="dxa"/>
          </w:tcPr>
          <w:p w14:paraId="0C0EA763" w14:textId="437C6B51" w:rsidR="00A85EC7" w:rsidRDefault="00310E7B" w:rsidP="001B5386">
            <w:pPr>
              <w:pStyle w:val="CMSExhibit7"/>
              <w:ind w:left="0"/>
              <w:jc w:val="center"/>
            </w:pPr>
            <w:r>
              <w:t>0</w:t>
            </w:r>
          </w:p>
        </w:tc>
      </w:tr>
    </w:tbl>
    <w:p w14:paraId="1C3C987B" w14:textId="77777777" w:rsidR="00FF749B" w:rsidRDefault="00FF749B" w:rsidP="00FF749B">
      <w:pPr>
        <w:pStyle w:val="CMSExhibit7"/>
        <w:ind w:left="564"/>
        <w:rPr>
          <w:b/>
        </w:rPr>
      </w:pPr>
    </w:p>
    <w:p w14:paraId="4AE3D555" w14:textId="4DADBB86" w:rsidR="000E0E74" w:rsidRDefault="00FF749B" w:rsidP="00E541CA">
      <w:pPr>
        <w:pStyle w:val="CMSExhibit7"/>
        <w:ind w:left="564"/>
        <w:rPr>
          <w:b/>
        </w:rPr>
      </w:pPr>
      <w:r>
        <w:rPr>
          <w:b/>
        </w:rPr>
        <w:t xml:space="preserve">[Bitte beachten: Falls nachfolgende Ausführungen zutreffend sind, bitte nähere Ausführungen zu Immobiliengeschäften und M&amp;A-Transaktionen, ansonsten (falls keine solcher Katalogtätigkeiten ausgeübt wurden, können die Ausführungen zu </w:t>
      </w:r>
      <w:proofErr w:type="spellStart"/>
      <w:r>
        <w:rPr>
          <w:b/>
        </w:rPr>
        <w:t>lit</w:t>
      </w:r>
      <w:proofErr w:type="spellEnd"/>
      <w:r>
        <w:rPr>
          <w:b/>
        </w:rPr>
        <w:t>. a) und b) gestrichen werden:]</w:t>
      </w:r>
    </w:p>
    <w:p w14:paraId="54B03E92" w14:textId="77777777" w:rsidR="00FF749B" w:rsidRDefault="00FF749B" w:rsidP="00FF749B">
      <w:pPr>
        <w:pStyle w:val="CMSIndent2"/>
        <w:ind w:left="567"/>
        <w:jc w:val="both"/>
      </w:pPr>
    </w:p>
    <w:p w14:paraId="0B45D5C9" w14:textId="1BC06868" w:rsidR="00FF749B" w:rsidRDefault="00FF749B" w:rsidP="00FF749B">
      <w:pPr>
        <w:pStyle w:val="CMSIndent2"/>
        <w:ind w:left="567"/>
        <w:jc w:val="both"/>
      </w:pPr>
      <w:r>
        <w:t>a</w:t>
      </w:r>
      <w:r w:rsidRPr="00E80DBD">
        <w:t>)</w:t>
      </w:r>
      <w:r w:rsidRPr="00E80DBD">
        <w:tab/>
        <w:t>Immobilien</w:t>
      </w:r>
      <w:r w:rsidR="00AA24F0">
        <w:t>geschäfte</w:t>
      </w:r>
    </w:p>
    <w:p w14:paraId="112728DC" w14:textId="77777777" w:rsidR="00FF749B" w:rsidRDefault="00FF749B" w:rsidP="00FF749B">
      <w:pPr>
        <w:pStyle w:val="CMSIndent3"/>
        <w:ind w:left="0"/>
      </w:pPr>
    </w:p>
    <w:p w14:paraId="2657332D" w14:textId="77777777" w:rsidR="00FF749B" w:rsidRDefault="00FF749B" w:rsidP="00FF749B">
      <w:pPr>
        <w:pStyle w:val="CMSIndent3"/>
        <w:jc w:val="both"/>
      </w:pPr>
      <w:r>
        <w:t>Im Bereich des Nicht-Finanzsektors steht der Immobiliensektor im Fokus. Immobilien gehören aufgrund der eingesetzten hohen Transaktionsvolumina sowie der Wertstabilität zu den bedeutendsten Anlageobjekten in Deutschland. Dies macht den Immobiliensektor für Geldwäscheaktivitäten besonders anfällig. Der Immobiliensektor wird daher als ein Bereich mit hohem Geldwäscherisiko eingestuft.</w:t>
      </w:r>
    </w:p>
    <w:p w14:paraId="7A53021C" w14:textId="77777777" w:rsidR="00FF749B" w:rsidRDefault="00FF749B" w:rsidP="00FF749B">
      <w:pPr>
        <w:pStyle w:val="CMSIndent3"/>
        <w:jc w:val="both"/>
      </w:pPr>
    </w:p>
    <w:p w14:paraId="5D84F849" w14:textId="56191428" w:rsidR="00FF749B" w:rsidRDefault="00FF749B" w:rsidP="00FF749B">
      <w:pPr>
        <w:pStyle w:val="CMSIndent3"/>
        <w:jc w:val="both"/>
      </w:pPr>
      <w:r>
        <w:t xml:space="preserve">Die Nationale Risikoanalyse sieht in zwei Konstellationen die Zuordnung inkriminierten Vermögens trotz der grundsätzlich hohen Transparenz der Eigentumsverhältnisse erschwert. Zum einen dann, wenn die wirtschaftliche Berechtigung an einer Immobilie und das formale Eigentum an derselben Immobilie auseinanderfallen. Als besonders anfällig dafür werden verschachtelte Konstrukte und Firmengeflechte erachtet, ebenso Konstellationen, in denen Grundstücke für eine andere Person (z.B. in Treuhand oder in verdeckter Stellvertretung) gehalten werden. Zum anderen werden sog. Share Deals und verschachtelte Gesellschaftskonstruktionen (insbesondere im Zusammenspiel mit Briefkastenfirmen aus dem Ausland) hervorgehoben. In beiden Fällen kann faktisch Anonymität hergestellt werden, </w:t>
      </w:r>
      <w:r w:rsidR="00A178A9">
        <w:t xml:space="preserve">womit </w:t>
      </w:r>
      <w:r>
        <w:t xml:space="preserve">ein besonderes Geldwäscherisiko einhergeht. </w:t>
      </w:r>
    </w:p>
    <w:p w14:paraId="5135FC22" w14:textId="77777777" w:rsidR="00FF749B" w:rsidRDefault="00FF749B" w:rsidP="00FF749B">
      <w:pPr>
        <w:pStyle w:val="CMSIndent3"/>
        <w:jc w:val="both"/>
      </w:pPr>
    </w:p>
    <w:p w14:paraId="1F16889C" w14:textId="77777777" w:rsidR="00FF749B" w:rsidRDefault="00FF749B" w:rsidP="00FF749B">
      <w:pPr>
        <w:pStyle w:val="CMSIndent3"/>
        <w:jc w:val="both"/>
      </w:pPr>
      <w:r>
        <w:t xml:space="preserve">Bei Share Deals handelt es sich um Immobilieninvestitionen, bei denen Investoren nicht die betreffenden Immobilien selbst erwerben, sondern Anteile an Objektgesellschaften, die ihrerseits Immobilien halten. Der Investor wird durch den Share Deal durch seine Gesellschafterstellung nur mittelbarer Eigentümer, Eigentümer der Immobilie bleibt weiterhin die Objektgesellschaft. Rechtlich gesehen handelt es sich um den Kauf eines Unternehmens bzw. einer Unternehmensbeteiligung, nicht um einen Immobilienkauf. </w:t>
      </w:r>
    </w:p>
    <w:p w14:paraId="3E837D7F" w14:textId="77777777" w:rsidR="00FF749B" w:rsidRDefault="00FF749B" w:rsidP="00FF749B">
      <w:pPr>
        <w:pStyle w:val="CMSIndent3"/>
        <w:jc w:val="both"/>
      </w:pPr>
    </w:p>
    <w:p w14:paraId="55724D26" w14:textId="77777777" w:rsidR="00FF749B" w:rsidRDefault="00FF749B" w:rsidP="00FF749B">
      <w:pPr>
        <w:pStyle w:val="CMSIndent3"/>
        <w:jc w:val="both"/>
      </w:pPr>
      <w:r>
        <w:t xml:space="preserve">Nach § 43 Abs. 6 GwG kann das BMF im Einvernehmen mit dem BMJV Sachverhalte bei Erwerbsvorgängen nach § 1 des Grunderwerbsteuergesetzes bestimmen, die von Verpflichteten </w:t>
      </w:r>
      <w:proofErr w:type="spellStart"/>
      <w:r>
        <w:t>i.S.d</w:t>
      </w:r>
      <w:proofErr w:type="spellEnd"/>
      <w:r>
        <w:t xml:space="preserve">. § 2 Abs. 1 Nr. 10 und Nr. 12 GwG (Rechtsanwälte und Notare) stets zu melden sind. Hierbei ist die Verordnung des BMF zu den nach dem Geldwäschegesetz meldepflichtigen Sachverhalten im Immobilienbereich (kurz: </w:t>
      </w:r>
      <w:proofErr w:type="spellStart"/>
      <w:r>
        <w:t>GwGMeldV</w:t>
      </w:r>
      <w:proofErr w:type="spellEnd"/>
      <w:r>
        <w:t xml:space="preserve">-Immobilien) zu beachten, nach der bei Vorliegen einer der in den §§ 3-6 der </w:t>
      </w:r>
      <w:proofErr w:type="spellStart"/>
      <w:r>
        <w:t>GwGMeldV</w:t>
      </w:r>
      <w:proofErr w:type="spellEnd"/>
      <w:r>
        <w:t>-Immobilien</w:t>
      </w:r>
      <w:r w:rsidDel="00650A8B">
        <w:t xml:space="preserve"> </w:t>
      </w:r>
      <w:r>
        <w:t xml:space="preserve">genannten Typologien auch von Rechtsanwälten (unter Durchbrechung ihrer anwaltlichen Verschwiegenheitsverpflichtung) stets eine Verdachtsmeldung an die FIU zu erstatten ist, es sei denn, es greift eine Ausnahme </w:t>
      </w:r>
      <w:proofErr w:type="spellStart"/>
      <w:r>
        <w:t>i.S.d</w:t>
      </w:r>
      <w:proofErr w:type="spellEnd"/>
      <w:r>
        <w:t xml:space="preserve">. § 7 </w:t>
      </w:r>
      <w:proofErr w:type="spellStart"/>
      <w:r>
        <w:t>GwGMeldV</w:t>
      </w:r>
      <w:proofErr w:type="spellEnd"/>
      <w:r>
        <w:t>-Immobilien.</w:t>
      </w:r>
    </w:p>
    <w:p w14:paraId="1D0686BF" w14:textId="77777777" w:rsidR="00FF749B" w:rsidRPr="00385601" w:rsidRDefault="00FF749B" w:rsidP="00FF749B">
      <w:pPr>
        <w:pStyle w:val="CMSIndent3"/>
        <w:ind w:left="0"/>
        <w:jc w:val="both"/>
        <w:rPr>
          <w:rFonts w:cstheme="minorHAnsi"/>
        </w:rPr>
      </w:pPr>
    </w:p>
    <w:p w14:paraId="1E6BFBFF" w14:textId="77777777" w:rsidR="00FF749B" w:rsidRDefault="00FF749B" w:rsidP="00FF749B">
      <w:pPr>
        <w:pStyle w:val="CMSIndent3"/>
        <w:jc w:val="both"/>
      </w:pPr>
      <w:r w:rsidRPr="00483347">
        <w:rPr>
          <w:rFonts w:cstheme="minorHAnsi"/>
        </w:rPr>
        <w:t xml:space="preserve">Das Terrorismusfinanzierungsrisiko wird für den Immobiliensektor als mittel eingestuft. </w:t>
      </w:r>
    </w:p>
    <w:p w14:paraId="2FAF185D" w14:textId="77777777" w:rsidR="00FF749B" w:rsidRDefault="00FF749B" w:rsidP="00FF749B">
      <w:pPr>
        <w:pStyle w:val="CMSIndent3"/>
        <w:jc w:val="both"/>
      </w:pPr>
    </w:p>
    <w:p w14:paraId="6B46807F" w14:textId="6E4921EB" w:rsidR="00FF749B" w:rsidRDefault="00FF749B" w:rsidP="00FF749B">
      <w:pPr>
        <w:pStyle w:val="CMSIndent3"/>
        <w:jc w:val="both"/>
      </w:pPr>
      <w:r>
        <w:t>b</w:t>
      </w:r>
      <w:r w:rsidRPr="00E80DBD">
        <w:t>)</w:t>
      </w:r>
      <w:r w:rsidRPr="00E80DBD">
        <w:tab/>
        <w:t>Kauf- und Verkauf von Gewerbebetrieben und Gründung von Gesellschaften</w:t>
      </w:r>
    </w:p>
    <w:p w14:paraId="0ABC8ABE" w14:textId="77777777" w:rsidR="00FF749B" w:rsidRDefault="00FF749B" w:rsidP="00FF749B">
      <w:pPr>
        <w:pStyle w:val="CMSIndent3"/>
        <w:jc w:val="both"/>
      </w:pPr>
    </w:p>
    <w:p w14:paraId="2B4876A2" w14:textId="5D1E737A" w:rsidR="00FF749B" w:rsidRDefault="00FF749B" w:rsidP="00FF749B">
      <w:pPr>
        <w:ind w:left="567"/>
        <w:jc w:val="both"/>
        <w:rPr>
          <w:rFonts w:ascii="Times New Roman" w:hAnsi="Times New Roman"/>
          <w:color w:val="000000" w:themeColor="text1"/>
        </w:rPr>
      </w:pPr>
      <w:r w:rsidRPr="00DF5778">
        <w:rPr>
          <w:rFonts w:ascii="Times New Roman" w:hAnsi="Times New Roman"/>
          <w:color w:val="000000" w:themeColor="text1"/>
        </w:rPr>
        <w:t xml:space="preserve">Nach dem Inhalt der </w:t>
      </w:r>
      <w:r>
        <w:rPr>
          <w:rFonts w:ascii="Times New Roman" w:hAnsi="Times New Roman"/>
          <w:color w:val="000000" w:themeColor="text1"/>
        </w:rPr>
        <w:t>Zweiten S</w:t>
      </w:r>
      <w:r w:rsidRPr="00DF5778">
        <w:rPr>
          <w:rFonts w:ascii="Times New Roman" w:hAnsi="Times New Roman"/>
          <w:color w:val="000000" w:themeColor="text1"/>
        </w:rPr>
        <w:t>up</w:t>
      </w:r>
      <w:r>
        <w:rPr>
          <w:rFonts w:ascii="Times New Roman" w:hAnsi="Times New Roman"/>
          <w:color w:val="000000" w:themeColor="text1"/>
        </w:rPr>
        <w:t>ranationalen Risikoanalyse der E</w:t>
      </w:r>
      <w:r w:rsidRPr="00DF5778">
        <w:rPr>
          <w:rFonts w:ascii="Times New Roman" w:hAnsi="Times New Roman"/>
          <w:color w:val="000000" w:themeColor="text1"/>
        </w:rPr>
        <w:t>uropäischen Kommission</w:t>
      </w:r>
      <w:r>
        <w:rPr>
          <w:rStyle w:val="Funotenzeichen"/>
          <w:rFonts w:ascii="Times New Roman" w:hAnsi="Times New Roman"/>
          <w:color w:val="000000" w:themeColor="text1"/>
        </w:rPr>
        <w:footnoteReference w:id="4"/>
      </w:r>
      <w:r w:rsidRPr="00DF5778">
        <w:rPr>
          <w:rFonts w:ascii="Times New Roman" w:hAnsi="Times New Roman"/>
          <w:color w:val="000000" w:themeColor="text1"/>
        </w:rPr>
        <w:t xml:space="preserve"> vom 24.07.2019 (</w:t>
      </w:r>
      <w:r w:rsidRPr="00DF5778">
        <w:rPr>
          <w:rFonts w:ascii="Times New Roman" w:hAnsi="Times New Roman"/>
          <w:szCs w:val="20"/>
        </w:rPr>
        <w:t xml:space="preserve">„Legal </w:t>
      </w:r>
      <w:proofErr w:type="spellStart"/>
      <w:r w:rsidRPr="00DF5778">
        <w:rPr>
          <w:rFonts w:ascii="Times New Roman" w:hAnsi="Times New Roman"/>
          <w:szCs w:val="20"/>
        </w:rPr>
        <w:t>services</w:t>
      </w:r>
      <w:proofErr w:type="spellEnd"/>
      <w:r w:rsidRPr="00DF5778">
        <w:rPr>
          <w:rFonts w:ascii="Times New Roman" w:hAnsi="Times New Roman"/>
          <w:szCs w:val="20"/>
        </w:rPr>
        <w:t xml:space="preserve"> </w:t>
      </w:r>
      <w:proofErr w:type="spellStart"/>
      <w:r w:rsidRPr="00DF5778">
        <w:rPr>
          <w:rFonts w:ascii="Times New Roman" w:hAnsi="Times New Roman"/>
          <w:szCs w:val="20"/>
        </w:rPr>
        <w:t>from</w:t>
      </w:r>
      <w:proofErr w:type="spellEnd"/>
      <w:r w:rsidRPr="00DF5778">
        <w:rPr>
          <w:rFonts w:ascii="Times New Roman" w:hAnsi="Times New Roman"/>
          <w:szCs w:val="20"/>
        </w:rPr>
        <w:t xml:space="preserve"> </w:t>
      </w:r>
      <w:proofErr w:type="spellStart"/>
      <w:r w:rsidRPr="00DF5778">
        <w:rPr>
          <w:rFonts w:ascii="Times New Roman" w:hAnsi="Times New Roman"/>
          <w:szCs w:val="20"/>
        </w:rPr>
        <w:t>notaries</w:t>
      </w:r>
      <w:proofErr w:type="spellEnd"/>
      <w:r w:rsidRPr="00DF5778">
        <w:rPr>
          <w:rFonts w:ascii="Times New Roman" w:hAnsi="Times New Roman"/>
          <w:szCs w:val="20"/>
        </w:rPr>
        <w:t xml:space="preserve"> and other </w:t>
      </w:r>
      <w:proofErr w:type="spellStart"/>
      <w:r w:rsidRPr="00DF5778">
        <w:rPr>
          <w:rFonts w:ascii="Times New Roman" w:hAnsi="Times New Roman"/>
          <w:szCs w:val="20"/>
        </w:rPr>
        <w:t>independent</w:t>
      </w:r>
      <w:proofErr w:type="spellEnd"/>
      <w:r w:rsidRPr="00DF5778">
        <w:rPr>
          <w:rFonts w:ascii="Times New Roman" w:hAnsi="Times New Roman"/>
          <w:szCs w:val="20"/>
        </w:rPr>
        <w:t xml:space="preserve"> legal </w:t>
      </w:r>
      <w:proofErr w:type="spellStart"/>
      <w:r w:rsidRPr="00DF5778">
        <w:rPr>
          <w:rFonts w:ascii="Times New Roman" w:hAnsi="Times New Roman"/>
          <w:szCs w:val="20"/>
        </w:rPr>
        <w:t>professionals</w:t>
      </w:r>
      <w:proofErr w:type="spellEnd"/>
      <w:r>
        <w:rPr>
          <w:rFonts w:ascii="Times New Roman" w:hAnsi="Times New Roman"/>
          <w:szCs w:val="20"/>
        </w:rPr>
        <w:t>“,</w:t>
      </w:r>
      <w:r w:rsidRPr="006A532D">
        <w:rPr>
          <w:rFonts w:ascii="Times New Roman" w:hAnsi="Times New Roman"/>
          <w:color w:val="000000" w:themeColor="text1"/>
        </w:rPr>
        <w:t xml:space="preserve"> </w:t>
      </w:r>
      <w:r w:rsidRPr="00DF5778">
        <w:rPr>
          <w:rFonts w:ascii="Times New Roman" w:hAnsi="Times New Roman"/>
          <w:color w:val="000000" w:themeColor="text1"/>
        </w:rPr>
        <w:t>dort S</w:t>
      </w:r>
      <w:r>
        <w:rPr>
          <w:rFonts w:ascii="Times New Roman" w:hAnsi="Times New Roman"/>
          <w:color w:val="000000" w:themeColor="text1"/>
        </w:rPr>
        <w:t>eiten 183 ff.</w:t>
      </w:r>
      <w:r w:rsidRPr="00DF5778">
        <w:rPr>
          <w:rFonts w:ascii="Times New Roman" w:hAnsi="Times New Roman"/>
          <w:color w:val="000000" w:themeColor="text1"/>
        </w:rPr>
        <w:t xml:space="preserve">) wird unter anderem das Geldwäscherisiko </w:t>
      </w:r>
      <w:r>
        <w:rPr>
          <w:rFonts w:ascii="Times New Roman" w:hAnsi="Times New Roman"/>
          <w:color w:val="000000" w:themeColor="text1"/>
        </w:rPr>
        <w:t>beim</w:t>
      </w:r>
      <w:r w:rsidRPr="00DF5778">
        <w:rPr>
          <w:rFonts w:ascii="Times New Roman" w:hAnsi="Times New Roman"/>
          <w:color w:val="000000" w:themeColor="text1"/>
        </w:rPr>
        <w:t xml:space="preserve"> Erwerb von Gesellschaften (Kauf und Verkauf) als </w:t>
      </w:r>
      <w:r w:rsidRPr="00ED73E5">
        <w:rPr>
          <w:rFonts w:ascii="Times New Roman" w:hAnsi="Times New Roman"/>
          <w:color w:val="000000" w:themeColor="text1"/>
        </w:rPr>
        <w:t>sehr bedeutend</w:t>
      </w:r>
      <w:r>
        <w:rPr>
          <w:rFonts w:ascii="Times New Roman" w:hAnsi="Times New Roman"/>
          <w:color w:val="000000" w:themeColor="text1"/>
        </w:rPr>
        <w:t xml:space="preserve"> eingestuft (Risikostufe 4 –Level 4 </w:t>
      </w:r>
      <w:proofErr w:type="spellStart"/>
      <w:r>
        <w:rPr>
          <w:rFonts w:ascii="Times New Roman" w:hAnsi="Times New Roman"/>
          <w:color w:val="000000" w:themeColor="text1"/>
        </w:rPr>
        <w:t>very</w:t>
      </w:r>
      <w:proofErr w:type="spellEnd"/>
      <w:r>
        <w:rPr>
          <w:rFonts w:ascii="Times New Roman" w:hAnsi="Times New Roman"/>
          <w:color w:val="000000" w:themeColor="text1"/>
        </w:rPr>
        <w:t xml:space="preserve"> </w:t>
      </w:r>
      <w:proofErr w:type="spellStart"/>
      <w:r>
        <w:rPr>
          <w:rFonts w:ascii="Times New Roman" w:hAnsi="Times New Roman"/>
          <w:color w:val="000000" w:themeColor="text1"/>
        </w:rPr>
        <w:t>significant</w:t>
      </w:r>
      <w:proofErr w:type="spellEnd"/>
      <w:r>
        <w:rPr>
          <w:rFonts w:ascii="Times New Roman" w:hAnsi="Times New Roman"/>
          <w:color w:val="000000" w:themeColor="text1"/>
        </w:rPr>
        <w:t>, entspricht der Risikostufe „hoch“) und</w:t>
      </w:r>
      <w:r w:rsidRPr="00DF5778">
        <w:rPr>
          <w:rFonts w:ascii="Times New Roman" w:hAnsi="Times New Roman"/>
          <w:color w:val="000000" w:themeColor="text1"/>
        </w:rPr>
        <w:t xml:space="preserve"> die Gründung von Gesellschaften als bedeutend (Seite 186, Risikostufe 3</w:t>
      </w:r>
      <w:r>
        <w:rPr>
          <w:rFonts w:ascii="Times New Roman" w:hAnsi="Times New Roman"/>
          <w:color w:val="000000" w:themeColor="text1"/>
        </w:rPr>
        <w:t xml:space="preserve">, Level 3 </w:t>
      </w:r>
      <w:proofErr w:type="spellStart"/>
      <w:r>
        <w:rPr>
          <w:rFonts w:ascii="Times New Roman" w:hAnsi="Times New Roman"/>
          <w:color w:val="000000" w:themeColor="text1"/>
        </w:rPr>
        <w:t>significant</w:t>
      </w:r>
      <w:proofErr w:type="spellEnd"/>
      <w:r>
        <w:rPr>
          <w:rFonts w:ascii="Times New Roman" w:hAnsi="Times New Roman"/>
          <w:color w:val="000000" w:themeColor="text1"/>
        </w:rPr>
        <w:t>, entspricht der Risikostufe „mittel bis hoch“</w:t>
      </w:r>
      <w:r w:rsidRPr="00DF5778">
        <w:rPr>
          <w:rFonts w:ascii="Times New Roman" w:hAnsi="Times New Roman"/>
          <w:color w:val="000000" w:themeColor="text1"/>
        </w:rPr>
        <w:t>)</w:t>
      </w:r>
      <w:r>
        <w:rPr>
          <w:rFonts w:ascii="Times New Roman" w:hAnsi="Times New Roman"/>
          <w:color w:val="000000" w:themeColor="text1"/>
        </w:rPr>
        <w:t>.</w:t>
      </w:r>
    </w:p>
    <w:p w14:paraId="7440F30C" w14:textId="7AB90A7E" w:rsidR="00AA24F0" w:rsidRDefault="00AA24F0" w:rsidP="00FF749B">
      <w:pPr>
        <w:ind w:left="567"/>
        <w:jc w:val="both"/>
        <w:rPr>
          <w:rFonts w:ascii="Times New Roman" w:hAnsi="Times New Roman"/>
          <w:color w:val="000000" w:themeColor="text1"/>
        </w:rPr>
      </w:pPr>
    </w:p>
    <w:p w14:paraId="27D47CC9" w14:textId="1084870E" w:rsidR="00AA24F0" w:rsidRDefault="00AA24F0" w:rsidP="00FF749B">
      <w:pPr>
        <w:ind w:left="567"/>
        <w:jc w:val="both"/>
        <w:rPr>
          <w:rFonts w:ascii="Times New Roman" w:hAnsi="Times New Roman"/>
          <w:color w:val="000000" w:themeColor="text1"/>
        </w:rPr>
      </w:pPr>
      <w:r>
        <w:rPr>
          <w:rFonts w:ascii="Times New Roman" w:hAnsi="Times New Roman"/>
          <w:color w:val="000000" w:themeColor="text1"/>
        </w:rPr>
        <w:t>c) Vorliegen von Risikofaktoren</w:t>
      </w:r>
      <w:r w:rsidR="009435CB">
        <w:rPr>
          <w:rFonts w:ascii="Times New Roman" w:hAnsi="Times New Roman"/>
          <w:color w:val="000000" w:themeColor="text1"/>
        </w:rPr>
        <w:t xml:space="preserve"> bei der Mandatsbearbeitung</w:t>
      </w:r>
    </w:p>
    <w:p w14:paraId="7EBEAF95" w14:textId="7462F03F" w:rsidR="00AA24F0" w:rsidRDefault="00AA24F0" w:rsidP="00FF749B">
      <w:pPr>
        <w:ind w:left="567"/>
        <w:jc w:val="both"/>
        <w:rPr>
          <w:rFonts w:ascii="Times New Roman" w:hAnsi="Times New Roman"/>
          <w:color w:val="000000" w:themeColor="text1"/>
        </w:rPr>
      </w:pPr>
    </w:p>
    <w:p w14:paraId="712C1123" w14:textId="7962A6BF" w:rsidR="009435CB" w:rsidRDefault="00AA24F0" w:rsidP="009435CB">
      <w:pPr>
        <w:ind w:left="567"/>
        <w:jc w:val="both"/>
        <w:rPr>
          <w:rFonts w:ascii="Times New Roman" w:hAnsi="Times New Roman"/>
          <w:color w:val="000000" w:themeColor="text1"/>
        </w:rPr>
      </w:pPr>
      <w:r w:rsidRPr="00E541CA">
        <w:rPr>
          <w:rFonts w:ascii="Times New Roman" w:hAnsi="Times New Roman"/>
          <w:b/>
          <w:color w:val="000000" w:themeColor="text1"/>
        </w:rPr>
        <w:t>[Bitte näher ausführen:]</w:t>
      </w:r>
      <w:r>
        <w:rPr>
          <w:rFonts w:ascii="Times New Roman" w:hAnsi="Times New Roman"/>
          <w:color w:val="000000" w:themeColor="text1"/>
        </w:rPr>
        <w:t xml:space="preserve"> Risikofaktoren nach Anlage 2 Nr. 2</w:t>
      </w:r>
      <w:r w:rsidR="009435CB">
        <w:rPr>
          <w:rFonts w:ascii="Times New Roman" w:hAnsi="Times New Roman"/>
          <w:color w:val="000000" w:themeColor="text1"/>
        </w:rPr>
        <w:t xml:space="preserve"> oder Nr. 3</w:t>
      </w:r>
      <w:r>
        <w:rPr>
          <w:rFonts w:ascii="Times New Roman" w:hAnsi="Times New Roman"/>
          <w:color w:val="000000" w:themeColor="text1"/>
        </w:rPr>
        <w:t xml:space="preserve"> und/oder nach </w:t>
      </w:r>
      <w:r w:rsidR="009435CB">
        <w:rPr>
          <w:rFonts w:ascii="Times New Roman" w:hAnsi="Times New Roman"/>
          <w:color w:val="000000" w:themeColor="text1"/>
        </w:rPr>
        <w:br w:type="textWrapping" w:clear="all"/>
      </w:r>
      <w:r>
        <w:rPr>
          <w:rFonts w:ascii="Times New Roman" w:hAnsi="Times New Roman"/>
          <w:color w:val="000000" w:themeColor="text1"/>
        </w:rPr>
        <w:t>§ 15 Abs. 3 GwG lagen keine vor/lagen vor (bitte weiter ausführen). Oder: Es lagen überwiegend Faktoren nach Anlage 1 Nr. 2 zum GwG vor.</w:t>
      </w:r>
      <w:r w:rsidR="009435CB">
        <w:rPr>
          <w:rFonts w:ascii="Times New Roman" w:hAnsi="Times New Roman"/>
          <w:color w:val="000000" w:themeColor="text1"/>
        </w:rPr>
        <w:t xml:space="preserve"> </w:t>
      </w:r>
    </w:p>
    <w:p w14:paraId="58A3F3CF" w14:textId="24CD20F2" w:rsidR="009435CB" w:rsidRDefault="009435CB" w:rsidP="009435CB">
      <w:pPr>
        <w:ind w:left="567"/>
        <w:jc w:val="both"/>
        <w:rPr>
          <w:rFonts w:ascii="Times New Roman" w:hAnsi="Times New Roman"/>
          <w:color w:val="000000" w:themeColor="text1"/>
        </w:rPr>
      </w:pPr>
    </w:p>
    <w:p w14:paraId="6C75A819" w14:textId="07DD28F5" w:rsidR="009435CB" w:rsidRDefault="009435CB">
      <w:pPr>
        <w:ind w:left="567"/>
        <w:jc w:val="both"/>
        <w:rPr>
          <w:rFonts w:ascii="Times New Roman" w:hAnsi="Times New Roman"/>
          <w:color w:val="000000" w:themeColor="text1"/>
        </w:rPr>
      </w:pPr>
      <w:r w:rsidRPr="00E541CA">
        <w:rPr>
          <w:rFonts w:ascii="Times New Roman" w:hAnsi="Times New Roman"/>
          <w:b/>
          <w:color w:val="000000" w:themeColor="text1"/>
        </w:rPr>
        <w:t>Hinweis:</w:t>
      </w:r>
      <w:r>
        <w:rPr>
          <w:rFonts w:ascii="Times New Roman" w:hAnsi="Times New Roman"/>
          <w:color w:val="000000" w:themeColor="text1"/>
        </w:rPr>
        <w:t xml:space="preserve"> Hier müssten ggf. auch Ausführungen zu einem geographischen Risiko in Bezug auf den Geschäftsgegenstand, die Zahlungsmodalitäten (z.B. Zahlungen unbekannter Dritter) und die Herkunft der Vermögenswerte erfolgen oder ob beispielsweise Sachverhalte </w:t>
      </w:r>
      <w:r w:rsidR="00A44E6D">
        <w:rPr>
          <w:rFonts w:ascii="Times New Roman" w:hAnsi="Times New Roman"/>
          <w:color w:val="000000" w:themeColor="text1"/>
        </w:rPr>
        <w:t xml:space="preserve">nach </w:t>
      </w:r>
      <w:r>
        <w:rPr>
          <w:rFonts w:ascii="Times New Roman" w:hAnsi="Times New Roman"/>
          <w:color w:val="000000" w:themeColor="text1"/>
        </w:rPr>
        <w:t xml:space="preserve">§ 3 der </w:t>
      </w:r>
      <w:proofErr w:type="spellStart"/>
      <w:r>
        <w:rPr>
          <w:rFonts w:ascii="Times New Roman" w:hAnsi="Times New Roman"/>
          <w:color w:val="000000" w:themeColor="text1"/>
        </w:rPr>
        <w:t>GwGMeldV</w:t>
      </w:r>
      <w:proofErr w:type="spellEnd"/>
      <w:r>
        <w:rPr>
          <w:rFonts w:ascii="Times New Roman" w:hAnsi="Times New Roman"/>
          <w:color w:val="000000" w:themeColor="text1"/>
        </w:rPr>
        <w:t>-Immobilien vorgelegen haben.</w:t>
      </w:r>
    </w:p>
    <w:p w14:paraId="2F34F56F" w14:textId="1DB87EF7" w:rsidR="00AA24F0" w:rsidRDefault="00AA24F0" w:rsidP="00FF749B">
      <w:pPr>
        <w:ind w:left="567"/>
        <w:jc w:val="both"/>
        <w:rPr>
          <w:rFonts w:ascii="Times New Roman" w:hAnsi="Times New Roman"/>
          <w:color w:val="000000" w:themeColor="text1"/>
        </w:rPr>
      </w:pPr>
    </w:p>
    <w:p w14:paraId="1D4C6CB0" w14:textId="7AC367BE" w:rsidR="00AA24F0" w:rsidRDefault="00AA24F0" w:rsidP="00E541CA">
      <w:pPr>
        <w:pStyle w:val="CMSHeading4"/>
        <w:numPr>
          <w:ilvl w:val="0"/>
          <w:numId w:val="0"/>
        </w:numPr>
        <w:ind w:left="567"/>
      </w:pPr>
      <w:r>
        <w:t>d) Zusammenfassung Mandatsrisiko/Geschäftsrisiko</w:t>
      </w:r>
    </w:p>
    <w:p w14:paraId="567887BF" w14:textId="2C7EBA59" w:rsidR="00AA24F0" w:rsidRDefault="00AA24F0" w:rsidP="00AA24F0">
      <w:pPr>
        <w:pStyle w:val="CMSExhibit7"/>
      </w:pPr>
      <w:r w:rsidRPr="00AA24F0">
        <w:t>Im Hinblick auf alle angebotenen Beratungsleistungen wird das Risiko des Missbrauchs der Partnerschaft für die Zwecke der Terrorismusfinanzierung oder der Geldwäsche als insgesamt [niedrig/mittel bis niedrig/mittel bis hoch/hoch] eingestuft.</w:t>
      </w:r>
    </w:p>
    <w:p w14:paraId="49EB82D3" w14:textId="77777777" w:rsidR="00AA24F0" w:rsidRDefault="00AA24F0" w:rsidP="00FF749B">
      <w:pPr>
        <w:ind w:left="567"/>
        <w:jc w:val="both"/>
        <w:rPr>
          <w:rFonts w:ascii="Times New Roman" w:hAnsi="Times New Roman"/>
          <w:color w:val="000000" w:themeColor="text1"/>
        </w:rPr>
      </w:pPr>
    </w:p>
    <w:p w14:paraId="70142321" w14:textId="77777777" w:rsidR="00FF749B" w:rsidRPr="00E541CA" w:rsidRDefault="00FF749B" w:rsidP="00E541CA">
      <w:pPr>
        <w:ind w:left="567"/>
        <w:jc w:val="both"/>
        <w:rPr>
          <w:rFonts w:ascii="Times New Roman" w:hAnsi="Times New Roman"/>
          <w:color w:val="000000" w:themeColor="text1"/>
        </w:rPr>
      </w:pPr>
    </w:p>
    <w:p w14:paraId="5842EC85" w14:textId="3C745882" w:rsidR="00FC1D39" w:rsidRPr="00DB6055" w:rsidRDefault="000E1FEB" w:rsidP="00ED73E5">
      <w:pPr>
        <w:pStyle w:val="CMSExhibit7"/>
        <w:ind w:left="0"/>
      </w:pPr>
      <w:r>
        <w:rPr>
          <w:b/>
        </w:rPr>
        <w:t>5</w:t>
      </w:r>
      <w:r w:rsidRPr="00ED73E5">
        <w:rPr>
          <w:b/>
        </w:rPr>
        <w:t>.</w:t>
      </w:r>
      <w:r w:rsidRPr="00ED73E5">
        <w:rPr>
          <w:b/>
        </w:rPr>
        <w:tab/>
        <w:t xml:space="preserve"> Transaktionsstruktur</w:t>
      </w:r>
    </w:p>
    <w:p w14:paraId="1D83D7EB" w14:textId="77777777" w:rsidR="00FC1D39" w:rsidRDefault="00FC1D39" w:rsidP="00FC1D39">
      <w:pPr>
        <w:pStyle w:val="CMSIndent3"/>
      </w:pPr>
      <w:bookmarkStart w:id="4" w:name="_Toc504988642"/>
      <w:bookmarkStart w:id="5" w:name="_Toc504990417"/>
      <w:bookmarkStart w:id="6" w:name="_Toc505008464"/>
      <w:bookmarkEnd w:id="4"/>
      <w:bookmarkEnd w:id="5"/>
      <w:bookmarkEnd w:id="6"/>
    </w:p>
    <w:p w14:paraId="340FB945" w14:textId="06EE93C8" w:rsidR="001E4324" w:rsidRDefault="006A78B1" w:rsidP="006F1C5F">
      <w:pPr>
        <w:pStyle w:val="CMSIndent3"/>
        <w:jc w:val="both"/>
      </w:pPr>
      <w:r>
        <w:t xml:space="preserve">In Bezug auf das Geldwäscherisiko stellt die Annahme von Bargeld grundsätzlich das höchste Risiko dar. </w:t>
      </w:r>
      <w:r w:rsidR="00FC1D39">
        <w:t xml:space="preserve">Die von </w:t>
      </w:r>
      <w:r w:rsidR="007E0C76">
        <w:rPr>
          <w:i/>
        </w:rPr>
        <w:t>Beispielsfrau &amp; Mustermann</w:t>
      </w:r>
      <w:r w:rsidR="00537671" w:rsidRPr="00964329">
        <w:rPr>
          <w:i/>
        </w:rPr>
        <w:t xml:space="preserve"> </w:t>
      </w:r>
      <w:r w:rsidR="00FC1D39">
        <w:t xml:space="preserve">gestellten Honorarrechnungen werden von den Mandanten </w:t>
      </w:r>
      <w:r w:rsidR="00C34BCD">
        <w:t xml:space="preserve">ausschließlich </w:t>
      </w:r>
      <w:r w:rsidR="00FC1D39">
        <w:t xml:space="preserve">per </w:t>
      </w:r>
      <w:r w:rsidR="00C34BCD">
        <w:t>Bank</w:t>
      </w:r>
      <w:r w:rsidR="00286547">
        <w:t>ü</w:t>
      </w:r>
      <w:r w:rsidR="00FC1D39">
        <w:t xml:space="preserve">berweisung bezahlt. Barzahlungen oder Zahlungen per Scheck kommen </w:t>
      </w:r>
      <w:r w:rsidR="003E5A20">
        <w:t>kaum</w:t>
      </w:r>
      <w:r w:rsidR="00FC1D39">
        <w:t xml:space="preserve"> vor (</w:t>
      </w:r>
      <w:r w:rsidR="001E4324">
        <w:t xml:space="preserve">weniger als </w:t>
      </w:r>
      <w:r w:rsidR="00537671">
        <w:t>XX</w:t>
      </w:r>
      <w:r w:rsidR="001E4324">
        <w:t xml:space="preserve"> Fälle </w:t>
      </w:r>
      <w:r w:rsidR="00FC1D39">
        <w:t xml:space="preserve">bei ca. </w:t>
      </w:r>
      <w:r w:rsidR="00537671">
        <w:t>XXX</w:t>
      </w:r>
      <w:r w:rsidR="00FC1D39">
        <w:t xml:space="preserve"> Rechnungen im Jahr</w:t>
      </w:r>
      <w:r w:rsidR="007C4D06">
        <w:t xml:space="preserve"> </w:t>
      </w:r>
      <w:r w:rsidR="00537671">
        <w:t>XXX</w:t>
      </w:r>
      <w:r w:rsidR="00AF5EE5">
        <w:t>X</w:t>
      </w:r>
      <w:r w:rsidR="00FC1D39">
        <w:t>).</w:t>
      </w:r>
      <w:r w:rsidR="007C4D06">
        <w:t xml:space="preserve"> </w:t>
      </w:r>
    </w:p>
    <w:p w14:paraId="586BF20C" w14:textId="77777777" w:rsidR="00F82BBB" w:rsidRDefault="00F82BBB" w:rsidP="006F1C5F">
      <w:pPr>
        <w:pStyle w:val="CMSIndent3"/>
        <w:jc w:val="both"/>
      </w:pPr>
    </w:p>
    <w:p w14:paraId="0736A46F" w14:textId="165C402A" w:rsidR="002774EF" w:rsidRDefault="00EB0A79" w:rsidP="006F1C5F">
      <w:pPr>
        <w:pStyle w:val="CMSIndent3"/>
        <w:jc w:val="both"/>
      </w:pPr>
      <w:r>
        <w:t xml:space="preserve">Banküberweisungen erfolgen </w:t>
      </w:r>
      <w:r w:rsidR="003E5A20">
        <w:t>(</w:t>
      </w:r>
      <w:r>
        <w:t>ganz überwiegend</w:t>
      </w:r>
      <w:r w:rsidR="003E5A20">
        <w:t>)</w:t>
      </w:r>
      <w:r>
        <w:t xml:space="preserve"> über Konten bei Banken, die in der </w:t>
      </w:r>
      <w:r w:rsidR="009B47B8">
        <w:br w:type="textWrapping" w:clear="all"/>
      </w:r>
      <w:r>
        <w:t>EU- oder OECD-Ländern geführt werden.</w:t>
      </w:r>
      <w:r w:rsidR="001E4324">
        <w:t xml:space="preserve"> </w:t>
      </w:r>
      <w:r w:rsidR="00A57113" w:rsidRPr="009A5177">
        <w:t xml:space="preserve">Dadurch erfolgt zugleich eine weitere geldwäscherechtliche Prüfung durch die </w:t>
      </w:r>
      <w:r w:rsidR="00A57113" w:rsidRPr="006F1C5F">
        <w:t xml:space="preserve">jeweils </w:t>
      </w:r>
      <w:r w:rsidR="00A57113" w:rsidRPr="009A5177">
        <w:t xml:space="preserve">beteiligte Bank, so dass das Risiko der </w:t>
      </w:r>
      <w:r w:rsidR="00C65700">
        <w:t>Partnerschaft</w:t>
      </w:r>
      <w:r w:rsidR="00A57113" w:rsidRPr="009A5177">
        <w:t>, für Geldwäsche oder Terrorismusfinanzierung missbraucht zu werden, nochmals erheblich sinkt und als gering einzustufen ist.</w:t>
      </w:r>
    </w:p>
    <w:p w14:paraId="26188CC8" w14:textId="77777777" w:rsidR="003E2CC8" w:rsidRDefault="003E2CC8" w:rsidP="006F1C5F">
      <w:pPr>
        <w:pStyle w:val="CMSIndent3"/>
        <w:ind w:left="0"/>
        <w:jc w:val="both"/>
      </w:pPr>
    </w:p>
    <w:p w14:paraId="6C866EBA" w14:textId="7C52D639" w:rsidR="009435CB" w:rsidRDefault="009435CB" w:rsidP="009435CB">
      <w:pPr>
        <w:pStyle w:val="CMSIndent3"/>
        <w:ind w:left="0"/>
        <w:rPr>
          <w:b/>
        </w:rPr>
      </w:pPr>
    </w:p>
    <w:p w14:paraId="10F134D5" w14:textId="77777777" w:rsidR="009435CB" w:rsidRPr="00ED73E5" w:rsidRDefault="009435CB">
      <w:pPr>
        <w:pStyle w:val="CMSIndent3"/>
        <w:ind w:left="0"/>
        <w:rPr>
          <w:b/>
        </w:rPr>
      </w:pPr>
    </w:p>
    <w:p w14:paraId="6B23B7D0" w14:textId="76D5A02C" w:rsidR="008C5A7B" w:rsidRDefault="00AC59E5" w:rsidP="008C5A7B">
      <w:pPr>
        <w:pStyle w:val="CMSHeading2"/>
        <w:jc w:val="both"/>
        <w:rPr>
          <w:color w:val="002060"/>
          <w:sz w:val="28"/>
          <w:szCs w:val="28"/>
        </w:rPr>
      </w:pPr>
      <w:r>
        <w:lastRenderedPageBreak/>
        <w:t xml:space="preserve"> </w:t>
      </w:r>
      <w:bookmarkStart w:id="7" w:name="_Toc28008499"/>
      <w:r w:rsidR="00B95F9F">
        <w:rPr>
          <w:color w:val="002060"/>
          <w:sz w:val="28"/>
          <w:szCs w:val="28"/>
        </w:rPr>
        <w:t>Risikobestimmung</w:t>
      </w:r>
      <w:bookmarkEnd w:id="7"/>
    </w:p>
    <w:p w14:paraId="37494CA4" w14:textId="77777777" w:rsidR="00B95F9F" w:rsidRPr="00DB1419" w:rsidRDefault="00B95F9F" w:rsidP="006F1C5F">
      <w:pPr>
        <w:pStyle w:val="CMSIndent3"/>
        <w:ind w:left="0"/>
      </w:pPr>
    </w:p>
    <w:p w14:paraId="312DC4A1" w14:textId="77777777" w:rsidR="0028673A" w:rsidRDefault="00E56E76" w:rsidP="002E09A2">
      <w:pPr>
        <w:pStyle w:val="CMSIndent2"/>
        <w:ind w:left="567"/>
        <w:jc w:val="both"/>
      </w:pPr>
      <w:r>
        <w:t>Eine</w:t>
      </w:r>
      <w:r w:rsidR="00DC5F03">
        <w:t xml:space="preserve"> Risikobestimmung </w:t>
      </w:r>
      <w:r>
        <w:t>der</w:t>
      </w:r>
      <w:r w:rsidR="00DC5F03">
        <w:t xml:space="preserve"> einzelnen Mandanten und Mandat</w:t>
      </w:r>
      <w:r>
        <w:t>e</w:t>
      </w:r>
      <w:r w:rsidR="00DC5F03">
        <w:t xml:space="preserve"> findet </w:t>
      </w:r>
      <w:r w:rsidR="00B95F9F">
        <w:t>sowohl abstrakt-generell als auch vor und bei Annahme eines neuen Mandats sowie im Laufe der Mandatsbeziehung statt. Zur Bewertung der Risiken werden interne sowie externe Quellen und eigenes Erfahrungswissen herangezogen.</w:t>
      </w:r>
    </w:p>
    <w:p w14:paraId="1444C0DA" w14:textId="77777777" w:rsidR="0028673A" w:rsidRDefault="0028673A" w:rsidP="002E09A2">
      <w:pPr>
        <w:pStyle w:val="CMSIndent2"/>
        <w:ind w:left="567"/>
        <w:jc w:val="both"/>
      </w:pPr>
    </w:p>
    <w:p w14:paraId="2CA71621" w14:textId="560F15D9" w:rsidR="0028673A" w:rsidRDefault="0028673A" w:rsidP="0028673A">
      <w:pPr>
        <w:pStyle w:val="CMSIndent3"/>
        <w:jc w:val="both"/>
      </w:pPr>
      <w:r>
        <w:t xml:space="preserve">Das Risiko für Rechtsanwälte und Notare, (auch unbemerkt) für Geldwäsche missbraucht zu werden, wird nach dem Inhalt der Nationalen Risikoanalyse des BMF und nach einem Bericht des </w:t>
      </w:r>
      <w:r w:rsidRPr="00A241BD">
        <w:t xml:space="preserve">Global Forum on Transparency and Exchange </w:t>
      </w:r>
      <w:proofErr w:type="spellStart"/>
      <w:r w:rsidRPr="00A241BD">
        <w:t>of</w:t>
      </w:r>
      <w:proofErr w:type="spellEnd"/>
      <w:r w:rsidRPr="00A241BD">
        <w:t xml:space="preserve"> Information </w:t>
      </w:r>
      <w:proofErr w:type="spellStart"/>
      <w:r w:rsidRPr="00A241BD">
        <w:t>for</w:t>
      </w:r>
      <w:proofErr w:type="spellEnd"/>
      <w:r w:rsidRPr="00A241BD">
        <w:t xml:space="preserve"> Tax </w:t>
      </w:r>
      <w:proofErr w:type="spellStart"/>
      <w:r w:rsidRPr="00A241BD">
        <w:t>Purposes</w:t>
      </w:r>
      <w:proofErr w:type="spellEnd"/>
      <w:r w:rsidRPr="00A241BD">
        <w:rPr>
          <w:rStyle w:val="Funotenzeichen"/>
          <w:vertAlign w:val="baseline"/>
        </w:rPr>
        <w:t xml:space="preserve"> </w:t>
      </w:r>
      <w:r>
        <w:t>der OECD</w:t>
      </w:r>
      <w:r>
        <w:rPr>
          <w:rStyle w:val="Funotenzeichen"/>
        </w:rPr>
        <w:footnoteReference w:id="5"/>
      </w:r>
      <w:r>
        <w:t xml:space="preserve"> und der FATF</w:t>
      </w:r>
      <w:r>
        <w:rPr>
          <w:rStyle w:val="Funotenzeichen"/>
        </w:rPr>
        <w:footnoteReference w:id="6"/>
      </w:r>
      <w:r>
        <w:t xml:space="preserve"> als potentiell mittel-hoch, für Steuerberater als mittel eingestuft. Ein besonderes Risiko sei dabei auch mit Treuhand- und Anderkonten (Fremdgeldkonten) verbunden, insbesondere im Zusammenspiel mit Barzahlungen und Steuerhinterziehung durch Umgehung von Meldepflichten</w:t>
      </w:r>
      <w:r>
        <w:rPr>
          <w:rStyle w:val="Funotenzeichen"/>
        </w:rPr>
        <w:footnoteReference w:id="7"/>
      </w:r>
      <w:r>
        <w:t>. Besondere Wachsamkeit mit Blick auf ein etwaiges Geldwäsche- und Terrorismusfinanzierungsrisiko sollten lt. der Nationalen Risikoanalyse Rechtsanwälte und Steuerberater bei sog. Share Deals (vgl. oben) walten lassen, wenn sie im Rahmen solcher Transaktionen eingebunden oder in der Ausgestaltung beratend tätig sind. Auch hier gilt, dass der Identifizierung des Geschäftspartners ein entscheidender Prüfungspunkt bei der Verhinderung der Geldwäsche spielt.</w:t>
      </w:r>
    </w:p>
    <w:p w14:paraId="5E89247E" w14:textId="43DD1A3F" w:rsidR="00B95F9F" w:rsidRDefault="00B95F9F" w:rsidP="002E09A2">
      <w:pPr>
        <w:pStyle w:val="CMSIndent2"/>
        <w:ind w:left="567"/>
        <w:jc w:val="both"/>
      </w:pPr>
    </w:p>
    <w:p w14:paraId="3EBA48FC" w14:textId="77777777" w:rsidR="00B95F9F" w:rsidRDefault="00B95F9F" w:rsidP="00B95F9F">
      <w:pPr>
        <w:pStyle w:val="CMSIndent2"/>
        <w:jc w:val="both"/>
      </w:pPr>
    </w:p>
    <w:p w14:paraId="0B8EBEDF" w14:textId="77777777" w:rsidR="00B95F9F" w:rsidRPr="00DB1419" w:rsidRDefault="00B95F9F" w:rsidP="006F1C5F">
      <w:pPr>
        <w:pStyle w:val="CMSHeading3"/>
      </w:pPr>
      <w:bookmarkStart w:id="8" w:name="_Toc28008500"/>
      <w:r w:rsidRPr="00DB1419">
        <w:t>Quellen für die Risikobestimmung</w:t>
      </w:r>
      <w:bookmarkEnd w:id="8"/>
    </w:p>
    <w:p w14:paraId="7E3D23E2" w14:textId="5AA5F8F6" w:rsidR="00B95F9F" w:rsidRDefault="007E0C76" w:rsidP="00B95F9F">
      <w:pPr>
        <w:pStyle w:val="CMSExhibit7"/>
      </w:pPr>
      <w:r>
        <w:rPr>
          <w:i/>
        </w:rPr>
        <w:t>Beispielsfrau &amp; Mustermann</w:t>
      </w:r>
      <w:r w:rsidR="00537671" w:rsidRPr="00964329">
        <w:rPr>
          <w:i/>
        </w:rPr>
        <w:t xml:space="preserve"> </w:t>
      </w:r>
      <w:r w:rsidR="00B95F9F">
        <w:t xml:space="preserve">zieht folgende Quellen für die Risikobestimmung heran: </w:t>
      </w:r>
    </w:p>
    <w:p w14:paraId="0A96A21F" w14:textId="1BC615ED" w:rsidR="00B95F9F" w:rsidRDefault="00B95F9F" w:rsidP="00B95F9F">
      <w:pPr>
        <w:pStyle w:val="CMSExhibit7"/>
        <w:numPr>
          <w:ilvl w:val="0"/>
          <w:numId w:val="41"/>
        </w:numPr>
      </w:pPr>
      <w:r>
        <w:t>Anlagen 1 und 2 zum GwG (Faktoren für ein pot</w:t>
      </w:r>
      <w:r w:rsidR="004E6B23">
        <w:t>entiell</w:t>
      </w:r>
      <w:r>
        <w:t xml:space="preserve"> geringe</w:t>
      </w:r>
      <w:r w:rsidR="004E6B23">
        <w:t>re</w:t>
      </w:r>
      <w:r>
        <w:t>s /höheres Risiko)</w:t>
      </w:r>
      <w:r w:rsidR="00650A8B">
        <w:t>;</w:t>
      </w:r>
    </w:p>
    <w:p w14:paraId="7E8634D8" w14:textId="177A4CED" w:rsidR="00243D3C" w:rsidRDefault="00243D3C" w:rsidP="00B95F9F">
      <w:pPr>
        <w:pStyle w:val="CMSExhibit7"/>
        <w:numPr>
          <w:ilvl w:val="0"/>
          <w:numId w:val="41"/>
        </w:numPr>
      </w:pPr>
      <w:r>
        <w:t>Listen der FATF und der EU-Kommission für die Bestimmung von Hochrisikoländern und Risikostaaten mit strategischen Mängeln bei der Geldwäschebekämpfung</w:t>
      </w:r>
      <w:r w:rsidR="0028673A">
        <w:rPr>
          <w:rStyle w:val="Funotenzeichen"/>
        </w:rPr>
        <w:footnoteReference w:id="8"/>
      </w:r>
      <w:r w:rsidR="00650A8B">
        <w:t>;</w:t>
      </w:r>
    </w:p>
    <w:p w14:paraId="02B7D4CD" w14:textId="355C1451" w:rsidR="006A532D" w:rsidRDefault="006A532D" w:rsidP="00B95F9F">
      <w:pPr>
        <w:pStyle w:val="CMSExhibit7"/>
        <w:numPr>
          <w:ilvl w:val="0"/>
          <w:numId w:val="41"/>
        </w:numPr>
      </w:pPr>
      <w:r>
        <w:t>die in § 15 Abs. 3 GwG genannten Risikofaktoren</w:t>
      </w:r>
      <w:r w:rsidR="00650A8B">
        <w:t>;</w:t>
      </w:r>
    </w:p>
    <w:p w14:paraId="55EA516C" w14:textId="5F112072" w:rsidR="00310E7B" w:rsidRDefault="00310E7B" w:rsidP="00B95F9F">
      <w:pPr>
        <w:pStyle w:val="CMSExhibit7"/>
        <w:numPr>
          <w:ilvl w:val="0"/>
          <w:numId w:val="41"/>
        </w:numPr>
      </w:pPr>
      <w:r>
        <w:t>§§ 3-6 der</w:t>
      </w:r>
      <w:r w:rsidR="00B54F9D">
        <w:t xml:space="preserve"> </w:t>
      </w:r>
      <w:r w:rsidR="00B54F9D" w:rsidRPr="00ED73E5">
        <w:rPr>
          <w:rStyle w:val="Fett"/>
          <w:rFonts w:cstheme="minorHAnsi"/>
          <w:b w:val="0"/>
          <w:color w:val="000000"/>
          <w:spacing w:val="7"/>
          <w:shd w:val="clear" w:color="auto" w:fill="FFFFFF"/>
        </w:rPr>
        <w:t>Verordnung zu den nach dem Geldwäschegesetz meldepflichtigen Sachverhalten im Immobilienbereich</w:t>
      </w:r>
      <w:r w:rsidRPr="00B54F9D">
        <w:rPr>
          <w:rFonts w:cstheme="minorHAnsi"/>
        </w:rPr>
        <w:t xml:space="preserve"> </w:t>
      </w:r>
      <w:r w:rsidR="00B54F9D">
        <w:rPr>
          <w:rFonts w:cstheme="minorHAnsi"/>
        </w:rPr>
        <w:t>(</w:t>
      </w:r>
      <w:proofErr w:type="spellStart"/>
      <w:r>
        <w:t>GwGMeldV</w:t>
      </w:r>
      <w:proofErr w:type="spellEnd"/>
      <w:r>
        <w:t>-Immobilien</w:t>
      </w:r>
      <w:r w:rsidR="00B54F9D">
        <w:t>)</w:t>
      </w:r>
      <w:r>
        <w:t xml:space="preserve"> genannten Typologien für Verdachtsmeldungen für bestimme Immobiliengeschäfte</w:t>
      </w:r>
      <w:r w:rsidR="00650A8B">
        <w:t>;</w:t>
      </w:r>
      <w:r w:rsidR="00B54F9D">
        <w:t xml:space="preserve"> </w:t>
      </w:r>
    </w:p>
    <w:p w14:paraId="20B9AB9C" w14:textId="55DFF183" w:rsidR="00A677F5" w:rsidRDefault="00243D3C" w:rsidP="00A677F5">
      <w:pPr>
        <w:pStyle w:val="CMSExhibit7"/>
        <w:numPr>
          <w:ilvl w:val="0"/>
          <w:numId w:val="41"/>
        </w:numPr>
      </w:pPr>
      <w:r>
        <w:t xml:space="preserve">Erste </w:t>
      </w:r>
      <w:r w:rsidR="00A677F5">
        <w:t>Nationale Risikoanalyse</w:t>
      </w:r>
      <w:r w:rsidR="006A532D">
        <w:t xml:space="preserve"> des Bundesministeriums für Finanzen</w:t>
      </w:r>
      <w:r w:rsidR="00B54F9D">
        <w:t xml:space="preserve"> vom 19.10.2019</w:t>
      </w:r>
      <w:r w:rsidR="00C9400A">
        <w:rPr>
          <w:rStyle w:val="Funotenzeichen"/>
        </w:rPr>
        <w:footnoteReference w:id="9"/>
      </w:r>
      <w:r w:rsidR="00650A8B">
        <w:t>;</w:t>
      </w:r>
    </w:p>
    <w:p w14:paraId="0B410942" w14:textId="49BCA129" w:rsidR="00EF1549" w:rsidRDefault="00EF1549" w:rsidP="00A677F5">
      <w:pPr>
        <w:pStyle w:val="CMSExhibit7"/>
        <w:numPr>
          <w:ilvl w:val="0"/>
          <w:numId w:val="41"/>
        </w:numPr>
      </w:pPr>
      <w:r>
        <w:lastRenderedPageBreak/>
        <w:t xml:space="preserve">Erste </w:t>
      </w:r>
      <w:r w:rsidR="009B47B8">
        <w:t>Supranationale Risikoanalyse</w:t>
      </w:r>
      <w:r w:rsidR="009B47B8" w:rsidRPr="009B47B8">
        <w:t xml:space="preserve"> der Europäischen Kommission vom</w:t>
      </w:r>
      <w:r w:rsidR="009B47B8">
        <w:t xml:space="preserve"> 26.06.2017</w:t>
      </w:r>
      <w:r w:rsidR="009B47B8">
        <w:rPr>
          <w:rStyle w:val="Funotenzeichen"/>
        </w:rPr>
        <w:footnoteReference w:id="10"/>
      </w:r>
      <w:r w:rsidR="009B47B8">
        <w:t>,</w:t>
      </w:r>
    </w:p>
    <w:p w14:paraId="7D6057D9" w14:textId="2F16A62F" w:rsidR="006A532D" w:rsidRDefault="00650A8B" w:rsidP="00A677F5">
      <w:pPr>
        <w:pStyle w:val="CMSExhibit7"/>
        <w:numPr>
          <w:ilvl w:val="0"/>
          <w:numId w:val="41"/>
        </w:numPr>
      </w:pPr>
      <w:r>
        <w:t>Zweite</w:t>
      </w:r>
      <w:r w:rsidR="00243D3C">
        <w:t xml:space="preserve"> </w:t>
      </w:r>
      <w:r w:rsidR="006A532D">
        <w:t>Supranationale Risikoanalyse der Europäischen Kommission</w:t>
      </w:r>
      <w:r w:rsidR="00B54F9D">
        <w:t xml:space="preserve"> vom 24.07.2019</w:t>
      </w:r>
      <w:r w:rsidR="00C9400A">
        <w:rPr>
          <w:rStyle w:val="Funotenzeichen"/>
        </w:rPr>
        <w:footnoteReference w:id="11"/>
      </w:r>
      <w:r>
        <w:t>;</w:t>
      </w:r>
    </w:p>
    <w:p w14:paraId="22C1F6E1" w14:textId="12F21AB7" w:rsidR="003F55DB" w:rsidRDefault="00650A8B" w:rsidP="00A677F5">
      <w:pPr>
        <w:pStyle w:val="CMSExhibit7"/>
        <w:numPr>
          <w:ilvl w:val="0"/>
          <w:numId w:val="41"/>
        </w:numPr>
      </w:pPr>
      <w:r>
        <w:t>Dritte</w:t>
      </w:r>
      <w:r w:rsidR="003F55DB">
        <w:t xml:space="preserve"> Supranationale Risikoanalyse der Europäischen Kommission vom </w:t>
      </w:r>
      <w:r w:rsidR="00BE259A">
        <w:t>27.10.2022</w:t>
      </w:r>
      <w:r w:rsidR="00BE259A">
        <w:rPr>
          <w:rStyle w:val="Funotenzeichen"/>
        </w:rPr>
        <w:footnoteReference w:id="12"/>
      </w:r>
      <w:r>
        <w:t>;</w:t>
      </w:r>
    </w:p>
    <w:p w14:paraId="2C49655F" w14:textId="7C90AA40" w:rsidR="006A532D" w:rsidRPr="00E541CA" w:rsidRDefault="006A532D" w:rsidP="00A677F5">
      <w:pPr>
        <w:pStyle w:val="CMSExhibit7"/>
        <w:numPr>
          <w:ilvl w:val="0"/>
          <w:numId w:val="41"/>
        </w:numPr>
        <w:rPr>
          <w:lang w:val="en-US"/>
        </w:rPr>
      </w:pPr>
      <w:proofErr w:type="spellStart"/>
      <w:r w:rsidRPr="00E541CA">
        <w:rPr>
          <w:lang w:val="en-US"/>
        </w:rPr>
        <w:t>Handlungsempfehlungen</w:t>
      </w:r>
      <w:proofErr w:type="spellEnd"/>
      <w:r w:rsidR="00C9400A" w:rsidRPr="00E541CA">
        <w:rPr>
          <w:lang w:val="en-US"/>
        </w:rPr>
        <w:t xml:space="preserve"> (Recommendations)</w:t>
      </w:r>
      <w:r w:rsidRPr="00E541CA">
        <w:rPr>
          <w:lang w:val="en-US"/>
        </w:rPr>
        <w:t xml:space="preserve"> der Financial Ac</w:t>
      </w:r>
      <w:r w:rsidR="003F70BE" w:rsidRPr="00E541CA">
        <w:rPr>
          <w:lang w:val="en-US"/>
        </w:rPr>
        <w:t>t</w:t>
      </w:r>
      <w:r w:rsidRPr="00E541CA">
        <w:rPr>
          <w:lang w:val="en-US"/>
        </w:rPr>
        <w:t>ion Task Force (FATF)</w:t>
      </w:r>
      <w:r w:rsidR="00C9400A">
        <w:rPr>
          <w:rStyle w:val="Funotenzeichen"/>
        </w:rPr>
        <w:footnoteReference w:id="13"/>
      </w:r>
      <w:r w:rsidR="00650A8B">
        <w:rPr>
          <w:lang w:val="en-US"/>
        </w:rPr>
        <w:t>;</w:t>
      </w:r>
    </w:p>
    <w:p w14:paraId="56D27DF8" w14:textId="67A63E30" w:rsidR="00F06169" w:rsidRPr="005914CF" w:rsidRDefault="00F06169" w:rsidP="00A677F5">
      <w:pPr>
        <w:pStyle w:val="CMSExhibit7"/>
        <w:numPr>
          <w:ilvl w:val="0"/>
          <w:numId w:val="41"/>
        </w:numPr>
      </w:pPr>
      <w:r w:rsidRPr="005914CF">
        <w:t>Mutual Evaluation Report der FATF über die Deutschlandprüfung 2021</w:t>
      </w:r>
      <w:r w:rsidRPr="005914CF">
        <w:rPr>
          <w:rStyle w:val="Funotenzeichen"/>
        </w:rPr>
        <w:footnoteReference w:id="14"/>
      </w:r>
      <w:r w:rsidR="00650A8B">
        <w:t>;</w:t>
      </w:r>
    </w:p>
    <w:p w14:paraId="16C2B4FF" w14:textId="16875C08" w:rsidR="006A532D" w:rsidRDefault="006A532D" w:rsidP="00A677F5">
      <w:pPr>
        <w:pStyle w:val="CMSExhibit7"/>
        <w:numPr>
          <w:ilvl w:val="0"/>
          <w:numId w:val="41"/>
        </w:numPr>
      </w:pPr>
      <w:r>
        <w:t>Leitfaden</w:t>
      </w:r>
      <w:r w:rsidR="004E6B23">
        <w:t xml:space="preserve"> der FATF</w:t>
      </w:r>
      <w:r>
        <w:t xml:space="preserve"> zum risikobasierten Ansatz Angehöriger der Rechtsberufe (</w:t>
      </w:r>
      <w:proofErr w:type="spellStart"/>
      <w:r>
        <w:t>Guidance</w:t>
      </w:r>
      <w:proofErr w:type="spellEnd"/>
      <w:r>
        <w:t xml:space="preserve"> </w:t>
      </w:r>
      <w:proofErr w:type="spellStart"/>
      <w:r>
        <w:t>for</w:t>
      </w:r>
      <w:proofErr w:type="spellEnd"/>
      <w:r>
        <w:t xml:space="preserve"> a risk-</w:t>
      </w:r>
      <w:proofErr w:type="spellStart"/>
      <w:r>
        <w:t>based</w:t>
      </w:r>
      <w:proofErr w:type="spellEnd"/>
      <w:r>
        <w:t xml:space="preserve">-Approach </w:t>
      </w:r>
      <w:proofErr w:type="spellStart"/>
      <w:r>
        <w:t>for</w:t>
      </w:r>
      <w:proofErr w:type="spellEnd"/>
      <w:r>
        <w:t xml:space="preserve"> Legal </w:t>
      </w:r>
      <w:proofErr w:type="spellStart"/>
      <w:r>
        <w:t>Professions</w:t>
      </w:r>
      <w:proofErr w:type="spellEnd"/>
      <w:r>
        <w:t>)</w:t>
      </w:r>
      <w:r w:rsidR="00C9400A">
        <w:rPr>
          <w:rStyle w:val="Funotenzeichen"/>
        </w:rPr>
        <w:footnoteReference w:id="15"/>
      </w:r>
      <w:r w:rsidR="00650A8B">
        <w:t>;</w:t>
      </w:r>
    </w:p>
    <w:p w14:paraId="58EB1189" w14:textId="195541D1" w:rsidR="00C9400A" w:rsidRPr="00FD1ACB" w:rsidRDefault="00C9400A" w:rsidP="00C9400A">
      <w:pPr>
        <w:pStyle w:val="CMSExhibit7"/>
        <w:numPr>
          <w:ilvl w:val="0"/>
          <w:numId w:val="41"/>
        </w:numPr>
      </w:pPr>
      <w:r w:rsidRPr="005C0674">
        <w:t>Jahresberichte der FIU</w:t>
      </w:r>
      <w:r w:rsidRPr="00FD1ACB">
        <w:rPr>
          <w:rStyle w:val="Funotenzeichen"/>
        </w:rPr>
        <w:footnoteReference w:id="16"/>
      </w:r>
      <w:r w:rsidR="00650A8B">
        <w:t>;</w:t>
      </w:r>
      <w:r w:rsidRPr="00FD1ACB">
        <w:t xml:space="preserve"> </w:t>
      </w:r>
    </w:p>
    <w:p w14:paraId="4FD62D0B" w14:textId="4A5F30A2" w:rsidR="00B95F9F" w:rsidRDefault="00B95F9F" w:rsidP="00B95F9F">
      <w:pPr>
        <w:pStyle w:val="CMSExhibit7"/>
        <w:numPr>
          <w:ilvl w:val="0"/>
          <w:numId w:val="41"/>
        </w:numPr>
      </w:pPr>
      <w:r>
        <w:t>Veröffentlichungen der Berufskammern und Berufsverbände</w:t>
      </w:r>
      <w:r w:rsidR="00650A8B">
        <w:t>;</w:t>
      </w:r>
    </w:p>
    <w:p w14:paraId="668AD829" w14:textId="7153ADEA" w:rsidR="00B95F9F" w:rsidRDefault="00B95F9F" w:rsidP="00B95F9F">
      <w:pPr>
        <w:pStyle w:val="CMSExhibit7"/>
        <w:numPr>
          <w:ilvl w:val="0"/>
          <w:numId w:val="41"/>
        </w:numPr>
      </w:pPr>
      <w:proofErr w:type="spellStart"/>
      <w:r>
        <w:t>Typologiepapiere</w:t>
      </w:r>
      <w:proofErr w:type="spellEnd"/>
      <w:r>
        <w:t xml:space="preserve"> </w:t>
      </w:r>
      <w:r w:rsidR="00650A8B">
        <w:t xml:space="preserve">der </w:t>
      </w:r>
      <w:r>
        <w:t xml:space="preserve">Financial </w:t>
      </w:r>
      <w:proofErr w:type="spellStart"/>
      <w:r>
        <w:t>Intelligence</w:t>
      </w:r>
      <w:proofErr w:type="spellEnd"/>
      <w:r>
        <w:t xml:space="preserve"> Unit (FIU)</w:t>
      </w:r>
      <w:r w:rsidR="006668C7">
        <w:t xml:space="preserve"> und Untersuchungsberichte der Anti Financial Crime Alliance (AFCA)</w:t>
      </w:r>
      <w:r w:rsidR="00650A8B">
        <w:t>;</w:t>
      </w:r>
    </w:p>
    <w:p w14:paraId="77937C93" w14:textId="34972AA4" w:rsidR="00B95F9F" w:rsidRDefault="00B95F9F" w:rsidP="00B95F9F">
      <w:pPr>
        <w:pStyle w:val="CMSExhibit7"/>
        <w:numPr>
          <w:ilvl w:val="0"/>
          <w:numId w:val="41"/>
        </w:numPr>
      </w:pPr>
      <w:r>
        <w:t xml:space="preserve">Unternehmens- und </w:t>
      </w:r>
      <w:proofErr w:type="spellStart"/>
      <w:r>
        <w:t>Compliancedatenbank</w:t>
      </w:r>
      <w:r w:rsidR="00E56E76">
        <w:t>en</w:t>
      </w:r>
      <w:proofErr w:type="spellEnd"/>
      <w:r w:rsidR="00E56E76">
        <w:t xml:space="preserve"> (</w:t>
      </w:r>
      <w:r w:rsidR="00C338D8">
        <w:t>z.B. XXX)</w:t>
      </w:r>
      <w:r w:rsidR="00650A8B">
        <w:t>;</w:t>
      </w:r>
      <w:r>
        <w:t xml:space="preserve"> </w:t>
      </w:r>
    </w:p>
    <w:p w14:paraId="701F11E1" w14:textId="2D5C0D9E" w:rsidR="00B95F9F" w:rsidRDefault="00B95F9F" w:rsidP="00B95F9F">
      <w:pPr>
        <w:pStyle w:val="CMSExhibit7"/>
        <w:numPr>
          <w:ilvl w:val="0"/>
          <w:numId w:val="41"/>
        </w:numPr>
      </w:pPr>
      <w:r>
        <w:t>Pressedatenbanken (</w:t>
      </w:r>
      <w:r w:rsidR="00C338D8">
        <w:t>z.B. XXX</w:t>
      </w:r>
      <w:r>
        <w:t>)</w:t>
      </w:r>
      <w:r w:rsidR="00650A8B">
        <w:t>;</w:t>
      </w:r>
    </w:p>
    <w:p w14:paraId="624A1B61" w14:textId="3CC288C3" w:rsidR="00382705" w:rsidRDefault="00DC5F03" w:rsidP="008F6406">
      <w:pPr>
        <w:pStyle w:val="CMSExhibit7"/>
        <w:numPr>
          <w:ilvl w:val="0"/>
          <w:numId w:val="41"/>
        </w:numPr>
      </w:pPr>
      <w:proofErr w:type="spellStart"/>
      <w:r>
        <w:t>Branchenround</w:t>
      </w:r>
      <w:r w:rsidR="00B95F9F">
        <w:t>t</w:t>
      </w:r>
      <w:r>
        <w:t>a</w:t>
      </w:r>
      <w:r w:rsidR="00B95F9F">
        <w:t>bles</w:t>
      </w:r>
      <w:proofErr w:type="spellEnd"/>
      <w:r w:rsidR="00B95F9F">
        <w:t xml:space="preserve"> und Erfahrungsaustausche</w:t>
      </w:r>
      <w:r w:rsidR="00650A8B">
        <w:t>.</w:t>
      </w:r>
    </w:p>
    <w:p w14:paraId="500939CB" w14:textId="77777777" w:rsidR="00382705" w:rsidRDefault="00382705" w:rsidP="006F1C5F">
      <w:pPr>
        <w:pStyle w:val="CMSExhibit7"/>
        <w:ind w:left="1287"/>
      </w:pPr>
    </w:p>
    <w:p w14:paraId="1B43A6E6" w14:textId="77777777" w:rsidR="00B95F9F" w:rsidRPr="00DB1419" w:rsidRDefault="00B95F9F" w:rsidP="006F1C5F">
      <w:pPr>
        <w:pStyle w:val="CMSHeading3"/>
      </w:pPr>
      <w:bookmarkStart w:id="9" w:name="_Toc28008501"/>
      <w:r w:rsidRPr="00DB1419">
        <w:t>Risikobestimmung vor Mandatsannahme</w:t>
      </w:r>
      <w:bookmarkEnd w:id="9"/>
    </w:p>
    <w:p w14:paraId="0D668625" w14:textId="3A59B87E" w:rsidR="00B95F9F" w:rsidRDefault="00B95F9F" w:rsidP="00B95F9F">
      <w:pPr>
        <w:pStyle w:val="CMSExhibit7"/>
      </w:pPr>
      <w:r>
        <w:t xml:space="preserve">In Fällen, in denen noch keine Mandatsbeziehung begründet wurde, kann der potentielle Mandant </w:t>
      </w:r>
      <w:r w:rsidR="00186C69">
        <w:t>vorab</w:t>
      </w:r>
      <w:r>
        <w:t xml:space="preserve"> überprüft werden. Eine Überprüfung vor Mandatsannahme ist insbesondere dann sinnvoll, wenn auf Grundlage der Anlage 2 </w:t>
      </w:r>
      <w:r w:rsidR="00B74B5A">
        <w:t xml:space="preserve">des GwG </w:t>
      </w:r>
      <w:r>
        <w:t xml:space="preserve">von einem potenziell höheren Risiko auszugehen ist. </w:t>
      </w:r>
    </w:p>
    <w:p w14:paraId="313502F3" w14:textId="77777777" w:rsidR="00B95F9F" w:rsidRPr="00DB1419" w:rsidRDefault="00B95F9F" w:rsidP="00B95F9F">
      <w:pPr>
        <w:pStyle w:val="CMSExhibit7"/>
        <w:rPr>
          <w:b/>
        </w:rPr>
      </w:pPr>
    </w:p>
    <w:p w14:paraId="59BEDF05" w14:textId="77777777" w:rsidR="00B95F9F" w:rsidRPr="00DB1419" w:rsidRDefault="00B95F9F" w:rsidP="006F1C5F">
      <w:pPr>
        <w:pStyle w:val="CMSHeading3"/>
      </w:pPr>
      <w:bookmarkStart w:id="10" w:name="_Toc28008502"/>
      <w:r w:rsidRPr="00DB1419">
        <w:t>Risikobestimmung bei Mandatsannahme</w:t>
      </w:r>
      <w:bookmarkEnd w:id="10"/>
    </w:p>
    <w:p w14:paraId="4F739E0A" w14:textId="1B27158E" w:rsidR="00B95F9F" w:rsidRPr="007B7BF8" w:rsidRDefault="00B95F9F" w:rsidP="007B7BF8">
      <w:pPr>
        <w:pStyle w:val="CMSExhibit7"/>
      </w:pPr>
      <w:r w:rsidRPr="007B7BF8">
        <w:t>Der Normalfall der Risikobestimmung</w:t>
      </w:r>
      <w:r w:rsidR="00EF1549">
        <w:t xml:space="preserve"> in jedem konkreten Einzelfall</w:t>
      </w:r>
      <w:r w:rsidR="006668C7">
        <w:t xml:space="preserve"> </w:t>
      </w:r>
      <w:r w:rsidR="009B47B8">
        <w:br w:type="textWrapping" w:clear="all"/>
      </w:r>
      <w:r w:rsidR="006668C7">
        <w:t>gem. § 10 Abs. 2 GwG</w:t>
      </w:r>
      <w:r w:rsidR="006F35AF">
        <w:t xml:space="preserve"> (</w:t>
      </w:r>
      <w:proofErr w:type="spellStart"/>
      <w:r w:rsidR="006F35AF">
        <w:t>i.V.m</w:t>
      </w:r>
      <w:proofErr w:type="spellEnd"/>
      <w:r w:rsidR="006F35AF">
        <w:t>. § 8 Abs. 1 Nr. 2 GwG)</w:t>
      </w:r>
      <w:r w:rsidRPr="007B7BF8">
        <w:t xml:space="preserve"> findet bei der Mandatsannahme i</w:t>
      </w:r>
      <w:r w:rsidR="007B7BF8">
        <w:t xml:space="preserve">m </w:t>
      </w:r>
      <w:r w:rsidR="007B7BF8">
        <w:lastRenderedPageBreak/>
        <w:t xml:space="preserve">Rahmen der Aktenanlage </w:t>
      </w:r>
      <w:r w:rsidR="00EF1549">
        <w:t xml:space="preserve">nach Maßgabe der kanzleiinternen Richtlinien/Bestimmungen </w:t>
      </w:r>
      <w:r w:rsidR="007B7BF8">
        <w:t>statt</w:t>
      </w:r>
      <w:r w:rsidR="00EF1549">
        <w:t>.</w:t>
      </w:r>
    </w:p>
    <w:p w14:paraId="0AE7097B" w14:textId="77777777" w:rsidR="006F1C5F" w:rsidRDefault="006F1C5F" w:rsidP="00B95F9F">
      <w:pPr>
        <w:pStyle w:val="CMSExhibit7"/>
      </w:pPr>
    </w:p>
    <w:p w14:paraId="2E68C89B" w14:textId="77777777" w:rsidR="00B95F9F" w:rsidRPr="00DB1419" w:rsidRDefault="00B95F9F" w:rsidP="006F1C5F">
      <w:pPr>
        <w:pStyle w:val="CMSHeading3"/>
      </w:pPr>
      <w:bookmarkStart w:id="11" w:name="_Toc28008503"/>
      <w:r w:rsidRPr="00DB1419">
        <w:t>Risikobestimmung im Laufe der Mandatsbeziehung</w:t>
      </w:r>
      <w:bookmarkEnd w:id="11"/>
    </w:p>
    <w:p w14:paraId="04E4B914" w14:textId="77777777" w:rsidR="00B95F9F" w:rsidRDefault="00B95F9F" w:rsidP="00B95F9F">
      <w:pPr>
        <w:pStyle w:val="CMSIndent2"/>
        <w:ind w:left="567"/>
        <w:jc w:val="both"/>
      </w:pPr>
    </w:p>
    <w:p w14:paraId="559CF4C7" w14:textId="4C1192F3" w:rsidR="00B95F9F" w:rsidRDefault="00B95F9F" w:rsidP="00B95F9F">
      <w:pPr>
        <w:pStyle w:val="CMSIndent2"/>
        <w:ind w:left="567"/>
        <w:jc w:val="both"/>
      </w:pPr>
      <w:r>
        <w:t xml:space="preserve">Sofern sich im Laufe des Mandats Änderungen hinsichtlich der Kategorisierung als </w:t>
      </w:r>
      <w:r w:rsidR="00EF1549">
        <w:t xml:space="preserve">Katalogtätigkeit </w:t>
      </w:r>
      <w:r>
        <w:t>ergeben, sich beteiligte Parteien ändern oder weitere Parteien hinzukommen, findet auch für diese eine entsprechende Risikobestimmung anhand der oben dargestellten Faktoren statt</w:t>
      </w:r>
      <w:r w:rsidR="00EF1549">
        <w:t>.</w:t>
      </w:r>
    </w:p>
    <w:p w14:paraId="1B83ECF6" w14:textId="77777777" w:rsidR="006A78B1" w:rsidRDefault="006A78B1" w:rsidP="00F2294B">
      <w:pPr>
        <w:pStyle w:val="CMSIndent2"/>
        <w:jc w:val="both"/>
      </w:pPr>
    </w:p>
    <w:p w14:paraId="2CFEEA50" w14:textId="5FD36A2B" w:rsidR="00504848" w:rsidRPr="0082660A" w:rsidRDefault="002A3D47" w:rsidP="005B5A00">
      <w:pPr>
        <w:pStyle w:val="CMSHeading2"/>
        <w:jc w:val="both"/>
        <w:rPr>
          <w:color w:val="002060"/>
          <w:sz w:val="28"/>
          <w:szCs w:val="28"/>
        </w:rPr>
      </w:pPr>
      <w:bookmarkStart w:id="12" w:name="_Toc28008504"/>
      <w:r>
        <w:rPr>
          <w:color w:val="002060"/>
          <w:sz w:val="28"/>
          <w:szCs w:val="28"/>
        </w:rPr>
        <w:t>Gesamtbetrachtung und Maßnahmen</w:t>
      </w:r>
      <w:bookmarkEnd w:id="12"/>
      <w:r w:rsidR="00AC6DEA">
        <w:rPr>
          <w:color w:val="002060"/>
          <w:sz w:val="28"/>
          <w:szCs w:val="28"/>
        </w:rPr>
        <w:t xml:space="preserve"> </w:t>
      </w:r>
    </w:p>
    <w:p w14:paraId="4A6FC5F2" w14:textId="77777777" w:rsidR="00940A4E" w:rsidRDefault="00940A4E" w:rsidP="005B5A00">
      <w:pPr>
        <w:pStyle w:val="CMSIndent2"/>
        <w:jc w:val="both"/>
      </w:pPr>
    </w:p>
    <w:p w14:paraId="1BB7FE7A" w14:textId="16477F02" w:rsidR="008C5A7B" w:rsidRDefault="00FB1B2D" w:rsidP="000005B9">
      <w:pPr>
        <w:pStyle w:val="CMSIndent2"/>
        <w:ind w:left="567"/>
        <w:jc w:val="both"/>
      </w:pPr>
      <w:r>
        <w:t xml:space="preserve">Auf Grundlage der </w:t>
      </w:r>
      <w:r w:rsidR="00A86514">
        <w:t xml:space="preserve">untersuchten Faktoren </w:t>
      </w:r>
      <w:r>
        <w:t xml:space="preserve">wird </w:t>
      </w:r>
      <w:r w:rsidR="00A86514">
        <w:t xml:space="preserve">das Risiko des Missbrauchs der </w:t>
      </w:r>
      <w:r w:rsidR="00EF1549">
        <w:t>Kanzlei</w:t>
      </w:r>
      <w:r w:rsidR="00A86514">
        <w:t xml:space="preserve"> für die Zwecke der Geldwäsche oder der Terrorismusfinanzierung als</w:t>
      </w:r>
      <w:r w:rsidR="00A86514" w:rsidRPr="00FF4D5C">
        <w:t xml:space="preserve"> </w:t>
      </w:r>
      <w:r w:rsidR="00FF4D5C" w:rsidRPr="00FF4D5C">
        <w:t>[</w:t>
      </w:r>
      <w:r w:rsidR="004E6B23" w:rsidRPr="00FF4D5C">
        <w:t xml:space="preserve">niedrig/mittel bis niedrig/mittel bis </w:t>
      </w:r>
      <w:r w:rsidR="00310E7B" w:rsidRPr="00FF4D5C">
        <w:t>hoch/hoch</w:t>
      </w:r>
      <w:r w:rsidR="00FF4D5C" w:rsidRPr="00192515">
        <w:t>]</w:t>
      </w:r>
      <w:r w:rsidR="00310E7B" w:rsidRPr="00FF4D5C" w:rsidDel="00310E7B">
        <w:t xml:space="preserve"> </w:t>
      </w:r>
      <w:r w:rsidR="00A86514">
        <w:t xml:space="preserve">eingeschätzt. </w:t>
      </w:r>
      <w:r w:rsidR="008C5A7B">
        <w:t xml:space="preserve">Diese Einschätzung fußt auf folgenden Betrachtungen: </w:t>
      </w:r>
    </w:p>
    <w:p w14:paraId="0E6ABBB3" w14:textId="77777777" w:rsidR="007B7BF8" w:rsidRDefault="007B7BF8" w:rsidP="002E09A2">
      <w:pPr>
        <w:pStyle w:val="CMSIndent2"/>
        <w:ind w:left="567"/>
        <w:jc w:val="both"/>
      </w:pPr>
    </w:p>
    <w:p w14:paraId="3161ED2B" w14:textId="1C669FC0" w:rsidR="00FB1B2D" w:rsidRDefault="00FB1B2D" w:rsidP="002E09A2">
      <w:pPr>
        <w:pStyle w:val="CMSIndent2"/>
        <w:ind w:left="567"/>
        <w:jc w:val="both"/>
      </w:pPr>
      <w:r w:rsidRPr="00FB1B2D">
        <w:t xml:space="preserve">Aus der o.g. Bestandsaufnahme sind Faktoren für ein potenziell </w:t>
      </w:r>
      <w:r w:rsidR="004E6B23">
        <w:t xml:space="preserve">[niedriges/mittel bis niedriges/ mittel bis hohes/hohes </w:t>
      </w:r>
      <w:r w:rsidRPr="00FB1B2D">
        <w:t>Risiko</w:t>
      </w:r>
      <w:r w:rsidR="00FF4D5C">
        <w:t>]</w:t>
      </w:r>
      <w:r w:rsidRPr="00FB1B2D">
        <w:t xml:space="preserve"> erkennbar. </w:t>
      </w:r>
      <w:r w:rsidR="004E6B23">
        <w:t>D</w:t>
      </w:r>
      <w:r w:rsidRPr="00FB1B2D">
        <w:t>as gilt sowohl für Faktor</w:t>
      </w:r>
      <w:r>
        <w:t>en bezüglich des Mandantenrisikos</w:t>
      </w:r>
      <w:r w:rsidRPr="00FB1B2D">
        <w:t>, Faktoren bezüglich des Dienstl</w:t>
      </w:r>
      <w:r>
        <w:t>eistungsrisikos (Rechtsbe</w:t>
      </w:r>
      <w:r w:rsidR="00CC07DE">
        <w:t>r</w:t>
      </w:r>
      <w:r>
        <w:t xml:space="preserve">atung) sowie für </w:t>
      </w:r>
      <w:r w:rsidRPr="00FB1B2D">
        <w:t>Faktoren bezüglich des geographischen Risikos</w:t>
      </w:r>
      <w:r>
        <w:t xml:space="preserve"> </w:t>
      </w:r>
      <w:r w:rsidRPr="00FB1B2D">
        <w:t xml:space="preserve">(ca. </w:t>
      </w:r>
      <w:r w:rsidR="00817B7D">
        <w:t>X</w:t>
      </w:r>
      <w:r w:rsidR="00382705">
        <w:t xml:space="preserve"> </w:t>
      </w:r>
      <w:r w:rsidRPr="00FB1B2D">
        <w:t xml:space="preserve">% der Mandanten </w:t>
      </w:r>
      <w:r>
        <w:t>mit Sitz in</w:t>
      </w:r>
      <w:r w:rsidRPr="00FB1B2D">
        <w:t xml:space="preserve"> Deutschland </w:t>
      </w:r>
      <w:r>
        <w:t>bzw.</w:t>
      </w:r>
      <w:r w:rsidRPr="00FB1B2D">
        <w:t xml:space="preserve"> der EU).</w:t>
      </w:r>
    </w:p>
    <w:p w14:paraId="131C893F" w14:textId="4B6A49D5" w:rsidR="00A86514" w:rsidRDefault="00FB1B2D" w:rsidP="007B7BF8">
      <w:pPr>
        <w:pStyle w:val="CMSExhibit7"/>
      </w:pPr>
      <w:r>
        <w:t xml:space="preserve">In Einzelfällen kann ein potentiell höheres Risiko vorliegen, je nach Mandanten,- und Mandatsstruktur sowie der geographischen Herkunft des Mandanten. Faktoren für ein potentiell höheres Risiko können </w:t>
      </w:r>
      <w:r w:rsidR="00C65F93">
        <w:t xml:space="preserve">insbesondere </w:t>
      </w:r>
      <w:r>
        <w:t>für Manda</w:t>
      </w:r>
      <w:r w:rsidR="007B7BF8">
        <w:t>nten aus Drittstaaten vorliegen.</w:t>
      </w:r>
    </w:p>
    <w:p w14:paraId="69A34325" w14:textId="0A642006" w:rsidR="002A3D47" w:rsidRDefault="002A3D47" w:rsidP="000005B9">
      <w:pPr>
        <w:pStyle w:val="CMSIndent2"/>
        <w:jc w:val="both"/>
      </w:pPr>
    </w:p>
    <w:p w14:paraId="3753CAD1" w14:textId="12BF4592" w:rsidR="002A3D47" w:rsidRDefault="00A72734" w:rsidP="006F1C5F">
      <w:pPr>
        <w:pStyle w:val="CMSIndent2"/>
        <w:ind w:left="567"/>
        <w:jc w:val="both"/>
      </w:pPr>
      <w:r>
        <w:t xml:space="preserve">Basierend auf dieser Risikoanalyse hat die </w:t>
      </w:r>
      <w:r w:rsidR="00C65700">
        <w:t>Partnerschaft</w:t>
      </w:r>
      <w:r>
        <w:t xml:space="preserve"> </w:t>
      </w:r>
      <w:r w:rsidR="00FC710A">
        <w:t>die folgenden Strategien und Verfahren zur Erfüllung der ihr im Rahmen der Bekämpfung Geldwäsche oder der Terrorismusfinanzierung auferlegten Sorgfaltspflichten eingeführt:</w:t>
      </w:r>
      <w:r w:rsidR="006F35AF">
        <w:t xml:space="preserve"> </w:t>
      </w:r>
      <w:r w:rsidR="006F35AF" w:rsidRPr="00E541CA">
        <w:rPr>
          <w:b/>
        </w:rPr>
        <w:t>[Bitte näher ausführen: insbesondere zu kanzleiinternen Sicherungsmaßnahmen gem. § 6 Abs. 2 GwG]</w:t>
      </w:r>
    </w:p>
    <w:p w14:paraId="1DE8481E" w14:textId="77777777" w:rsidR="001A0BC6" w:rsidRDefault="001A0BC6" w:rsidP="006F1C5F">
      <w:pPr>
        <w:pStyle w:val="CMSIndent3"/>
      </w:pPr>
    </w:p>
    <w:p w14:paraId="2EB661E4" w14:textId="035D3402" w:rsidR="001A0BC6" w:rsidRDefault="001A0BC6" w:rsidP="001A0BC6">
      <w:pPr>
        <w:pStyle w:val="CMSHeading3"/>
      </w:pPr>
      <w:bookmarkStart w:id="13" w:name="_Toc28008505"/>
      <w:r>
        <w:t xml:space="preserve">Beachtung der </w:t>
      </w:r>
      <w:r w:rsidR="007E0C76">
        <w:rPr>
          <w:i/>
        </w:rPr>
        <w:t>Beispielsfrau &amp; Mustermann</w:t>
      </w:r>
      <w:r w:rsidR="00537671" w:rsidRPr="00964329">
        <w:rPr>
          <w:i/>
        </w:rPr>
        <w:t xml:space="preserve"> </w:t>
      </w:r>
      <w:r>
        <w:t>Geldwäscherichtlinie</w:t>
      </w:r>
      <w:bookmarkEnd w:id="13"/>
      <w:r>
        <w:t xml:space="preserve"> </w:t>
      </w:r>
    </w:p>
    <w:p w14:paraId="25D64677" w14:textId="77777777" w:rsidR="001A0BC6" w:rsidRPr="000005B9" w:rsidRDefault="001A0BC6" w:rsidP="001A0BC6">
      <w:pPr>
        <w:pStyle w:val="CMSIndent3"/>
      </w:pPr>
    </w:p>
    <w:p w14:paraId="285A0685" w14:textId="7562ECE1" w:rsidR="001A0BC6" w:rsidRDefault="001A0BC6" w:rsidP="001A0BC6">
      <w:pPr>
        <w:pStyle w:val="CMSIndent2"/>
        <w:ind w:left="567"/>
        <w:jc w:val="both"/>
      </w:pPr>
      <w:r>
        <w:t xml:space="preserve">Die konkreten und dem individuellen Risiko bei </w:t>
      </w:r>
      <w:r w:rsidR="007E0C76">
        <w:rPr>
          <w:i/>
        </w:rPr>
        <w:t>Beispielsfrau &amp; Mustermann</w:t>
      </w:r>
      <w:r w:rsidR="00537671" w:rsidRPr="00964329">
        <w:rPr>
          <w:i/>
        </w:rPr>
        <w:t xml:space="preserve"> </w:t>
      </w:r>
      <w:r>
        <w:t>entsprechenden Maßnahmen finden sich in der regelmäßig aktualisierten "</w:t>
      </w:r>
      <w:r w:rsidRPr="00531E5F">
        <w:t xml:space="preserve">Richtlinie zur </w:t>
      </w:r>
      <w:r w:rsidR="00C65700">
        <w:t>Partnerschaft</w:t>
      </w:r>
      <w:r w:rsidRPr="00531E5F">
        <w:t>sinternen Geldwäscheprävention</w:t>
      </w:r>
      <w:r>
        <w:t xml:space="preserve">" ("Geldwäscherichtlinie", Stand </w:t>
      </w:r>
      <w:r w:rsidR="00537671">
        <w:t>XX</w:t>
      </w:r>
      <w:r w:rsidR="00382705">
        <w:t>.XX.XXXX</w:t>
      </w:r>
      <w:r>
        <w:t xml:space="preserve">), </w:t>
      </w:r>
      <w:r w:rsidR="007B7BF8">
        <w:t>auf die insoweit verwiesen wird.</w:t>
      </w:r>
    </w:p>
    <w:p w14:paraId="73235D12" w14:textId="77777777" w:rsidR="001A0BC6" w:rsidRPr="002E09A2" w:rsidRDefault="001A0BC6" w:rsidP="00387C48">
      <w:pPr>
        <w:pStyle w:val="CMSIndent3"/>
        <w:ind w:left="0"/>
      </w:pPr>
    </w:p>
    <w:p w14:paraId="1A244BC7" w14:textId="77777777" w:rsidR="001A0BC6" w:rsidRDefault="001A0BC6" w:rsidP="001A0BC6">
      <w:pPr>
        <w:pStyle w:val="CMSHeading3"/>
      </w:pPr>
      <w:bookmarkStart w:id="14" w:name="_Toc28008506"/>
      <w:r>
        <w:t>Überprüfung bei jedem neuen Mandat</w:t>
      </w:r>
      <w:bookmarkEnd w:id="14"/>
    </w:p>
    <w:p w14:paraId="63BB0E66" w14:textId="77777777" w:rsidR="001A0BC6" w:rsidRPr="000005B9" w:rsidRDefault="001A0BC6" w:rsidP="006F1C5F">
      <w:pPr>
        <w:pStyle w:val="CMSIndent3"/>
        <w:ind w:left="0"/>
      </w:pPr>
    </w:p>
    <w:p w14:paraId="418FDA39" w14:textId="4FE022AD" w:rsidR="001D44FA" w:rsidRDefault="009E1EF2">
      <w:pPr>
        <w:pStyle w:val="CMSIndent2"/>
        <w:ind w:left="567"/>
        <w:jc w:val="both"/>
      </w:pPr>
      <w:r>
        <w:t xml:space="preserve">Ein standardisiertes Verfahren im Rahmen der </w:t>
      </w:r>
      <w:r w:rsidR="007B7BF8">
        <w:t>Mandatsannahm</w:t>
      </w:r>
      <w:r>
        <w:t>e sorgt dafür, dass für jedes neue Mandat</w:t>
      </w:r>
      <w:r w:rsidR="0015548C">
        <w:t xml:space="preserve"> (Akte)</w:t>
      </w:r>
      <w:r>
        <w:t xml:space="preserve"> eine </w:t>
      </w:r>
      <w:r w:rsidR="006F0D26">
        <w:t>Prüfung</w:t>
      </w:r>
      <w:r>
        <w:t xml:space="preserve"> erfolgt, ob es sich dabei um ein</w:t>
      </w:r>
      <w:r w:rsidR="00EF1549">
        <w:t>e</w:t>
      </w:r>
      <w:r>
        <w:t xml:space="preserve"> </w:t>
      </w:r>
      <w:r w:rsidR="00EF1549">
        <w:t xml:space="preserve">Katalogtätigkeit </w:t>
      </w:r>
      <w:proofErr w:type="spellStart"/>
      <w:r w:rsidR="006F0D26">
        <w:t>i.S.d</w:t>
      </w:r>
      <w:proofErr w:type="spellEnd"/>
      <w:r w:rsidR="006F0D26">
        <w:t xml:space="preserve">. § </w:t>
      </w:r>
      <w:r w:rsidR="00CB649E">
        <w:t xml:space="preserve">2 </w:t>
      </w:r>
      <w:r w:rsidR="006F0D26">
        <w:t xml:space="preserve">Abs. </w:t>
      </w:r>
      <w:r w:rsidR="00CB649E">
        <w:t>1</w:t>
      </w:r>
      <w:bookmarkStart w:id="15" w:name="_GoBack"/>
      <w:bookmarkEnd w:id="15"/>
      <w:r w:rsidR="006F0D26">
        <w:t xml:space="preserve"> Nr. 10 GwG </w:t>
      </w:r>
      <w:r>
        <w:t xml:space="preserve">handelt. </w:t>
      </w:r>
    </w:p>
    <w:p w14:paraId="10F40D0B" w14:textId="77777777" w:rsidR="00F06169" w:rsidRDefault="00F06169">
      <w:pPr>
        <w:pStyle w:val="CMSIndent2"/>
        <w:ind w:left="567"/>
        <w:jc w:val="both"/>
      </w:pPr>
    </w:p>
    <w:p w14:paraId="7DA526A0" w14:textId="77777777" w:rsidR="00F06169" w:rsidRDefault="00F06169">
      <w:pPr>
        <w:pStyle w:val="CMSIndent2"/>
        <w:ind w:left="567"/>
        <w:jc w:val="both"/>
      </w:pPr>
    </w:p>
    <w:p w14:paraId="0B244CD9" w14:textId="77777777" w:rsidR="008626DC" w:rsidRDefault="008626DC" w:rsidP="006F1C5F">
      <w:pPr>
        <w:pStyle w:val="CMSIndent3"/>
        <w:ind w:left="0"/>
      </w:pPr>
    </w:p>
    <w:p w14:paraId="4EB04D20" w14:textId="36F2B4CE" w:rsidR="008626DC" w:rsidRDefault="008626DC" w:rsidP="008626DC">
      <w:pPr>
        <w:pStyle w:val="CMSHeading3"/>
      </w:pPr>
      <w:bookmarkStart w:id="16" w:name="_Toc28008507"/>
      <w:r>
        <w:lastRenderedPageBreak/>
        <w:t>Bestellung eine</w:t>
      </w:r>
      <w:r w:rsidR="003C719F">
        <w:t>s</w:t>
      </w:r>
      <w:r w:rsidR="009B47B8">
        <w:t>/einer</w:t>
      </w:r>
      <w:r>
        <w:t xml:space="preserve"> Geldwäschebeauftragten incl. </w:t>
      </w:r>
      <w:proofErr w:type="spellStart"/>
      <w:r>
        <w:t>Stellvertreter</w:t>
      </w:r>
      <w:bookmarkEnd w:id="16"/>
      <w:r w:rsidR="009B47B8">
        <w:t>:in</w:t>
      </w:r>
      <w:proofErr w:type="spellEnd"/>
    </w:p>
    <w:p w14:paraId="1A5875EA" w14:textId="77777777" w:rsidR="008626DC" w:rsidRDefault="008626DC" w:rsidP="006F1C5F">
      <w:pPr>
        <w:pStyle w:val="CMSIndent3"/>
      </w:pPr>
    </w:p>
    <w:p w14:paraId="749FE440" w14:textId="7F4D1FD0" w:rsidR="008626C6" w:rsidRDefault="008626DC" w:rsidP="00387C48">
      <w:pPr>
        <w:pStyle w:val="CMSIndent3"/>
        <w:jc w:val="both"/>
      </w:pPr>
      <w:r>
        <w:t>Derzeitiger Geldwäschebeauftragte</w:t>
      </w:r>
      <w:r w:rsidR="006F0D26">
        <w:t>/</w:t>
      </w:r>
      <w:r w:rsidR="00EE1867">
        <w:t>r</w:t>
      </w:r>
      <w:r>
        <w:t xml:space="preserve"> von </w:t>
      </w:r>
      <w:r w:rsidR="007E0C76">
        <w:rPr>
          <w:i/>
        </w:rPr>
        <w:t>Beispielsfrau &amp; Mustermann</w:t>
      </w:r>
      <w:r w:rsidR="00307647" w:rsidRPr="00964329">
        <w:rPr>
          <w:i/>
        </w:rPr>
        <w:t xml:space="preserve"> </w:t>
      </w:r>
      <w:r w:rsidR="007B7BF8">
        <w:t xml:space="preserve">ist </w:t>
      </w:r>
      <w:r w:rsidR="00307647">
        <w:t>XX</w:t>
      </w:r>
      <w:r>
        <w:t xml:space="preserve">, </w:t>
      </w:r>
      <w:proofErr w:type="spellStart"/>
      <w:r>
        <w:t>Stellvertreter</w:t>
      </w:r>
      <w:r w:rsidR="006F0D26">
        <w:t>:in</w:t>
      </w:r>
      <w:proofErr w:type="spellEnd"/>
      <w:r>
        <w:t xml:space="preserve"> ist </w:t>
      </w:r>
      <w:r w:rsidR="00307647">
        <w:t>XX</w:t>
      </w:r>
      <w:r>
        <w:t>.</w:t>
      </w:r>
    </w:p>
    <w:p w14:paraId="5D130819" w14:textId="77777777" w:rsidR="008626DC" w:rsidRDefault="008626DC" w:rsidP="006F1C5F">
      <w:pPr>
        <w:pStyle w:val="CMSIndent3"/>
      </w:pPr>
    </w:p>
    <w:p w14:paraId="78654E55" w14:textId="0C9946E9" w:rsidR="00C65F93" w:rsidRDefault="00C57BD3" w:rsidP="00C65F93">
      <w:pPr>
        <w:pStyle w:val="CMSHeading3"/>
      </w:pPr>
      <w:bookmarkStart w:id="17" w:name="_Toc28008508"/>
      <w:r>
        <w:t>Zuverlässigkeitsprüfung</w:t>
      </w:r>
      <w:r w:rsidR="00C65F93">
        <w:t xml:space="preserve"> Mitarbeite</w:t>
      </w:r>
      <w:r w:rsidR="00EF1549">
        <w:t>nde</w:t>
      </w:r>
      <w:bookmarkEnd w:id="17"/>
    </w:p>
    <w:p w14:paraId="47180947" w14:textId="649F3477" w:rsidR="0025227E" w:rsidRDefault="00C57BD3" w:rsidP="00310E7B">
      <w:pPr>
        <w:pStyle w:val="CMSExhibit7"/>
      </w:pPr>
      <w:r>
        <w:t>Eine Überprüfung der Zuverlässigkeit aller Mitarbeit</w:t>
      </w:r>
      <w:r w:rsidR="006F0D26">
        <w:t>enden</w:t>
      </w:r>
      <w:r>
        <w:t xml:space="preserve"> bei </w:t>
      </w:r>
      <w:r w:rsidR="007E0C76">
        <w:rPr>
          <w:i/>
        </w:rPr>
        <w:t>Beispielsfrau &amp; Mustermann</w:t>
      </w:r>
      <w:r w:rsidR="00307647" w:rsidRPr="00964329">
        <w:rPr>
          <w:i/>
        </w:rPr>
        <w:t xml:space="preserve"> </w:t>
      </w:r>
      <w:r>
        <w:t xml:space="preserve">gewährleistet die Beachtung und Einhaltung der geldwäscherechtlichen Vorschriften und unternehmensinternen Grundsätze. </w:t>
      </w:r>
      <w:r w:rsidR="00C65F93">
        <w:t xml:space="preserve"> </w:t>
      </w:r>
      <w:r w:rsidR="007E0C76">
        <w:rPr>
          <w:i/>
        </w:rPr>
        <w:t>Beispielsfrau &amp; Mustermann</w:t>
      </w:r>
      <w:r w:rsidR="00307647" w:rsidRPr="00964329">
        <w:rPr>
          <w:i/>
        </w:rPr>
        <w:t xml:space="preserve"> </w:t>
      </w:r>
      <w:r w:rsidR="00C65F93">
        <w:t xml:space="preserve">verlangt bei Einstellung die Vorlage eines einfachen polizeilichen Führungszeugnisses (bzw. bei </w:t>
      </w:r>
      <w:r w:rsidR="007E0C76">
        <w:t>Rechtsanwälte</w:t>
      </w:r>
      <w:r w:rsidR="00C65F93">
        <w:t>n ist dies Voraussetzung für die Zulassung als Rechtsanwalt).</w:t>
      </w:r>
      <w:r>
        <w:t xml:space="preserve"> Personenrisiken sind bei Mitarbeitern bislang nicht aufgetreten.</w:t>
      </w:r>
    </w:p>
    <w:p w14:paraId="0F0CC81A" w14:textId="77777777" w:rsidR="00C65F93" w:rsidRDefault="00C65F93" w:rsidP="006F1C5F">
      <w:pPr>
        <w:pStyle w:val="CMSIndent3"/>
      </w:pPr>
    </w:p>
    <w:p w14:paraId="55B69FD0" w14:textId="76323FEC" w:rsidR="008626C6" w:rsidRDefault="008626C6" w:rsidP="008626C6">
      <w:pPr>
        <w:pStyle w:val="CMSHeading3"/>
      </w:pPr>
      <w:bookmarkStart w:id="18" w:name="_Toc28008509"/>
      <w:r>
        <w:t>Jährliche Unterrichtung zum Thema Geldwäsche</w:t>
      </w:r>
      <w:bookmarkEnd w:id="18"/>
      <w:r w:rsidR="006F0D26">
        <w:t>, Schulungen</w:t>
      </w:r>
    </w:p>
    <w:p w14:paraId="26B17F74" w14:textId="77777777" w:rsidR="008626C6" w:rsidRPr="000005B9" w:rsidRDefault="008626C6" w:rsidP="006F1C5F">
      <w:pPr>
        <w:pStyle w:val="CMSIndent3"/>
      </w:pPr>
    </w:p>
    <w:p w14:paraId="06D91A35" w14:textId="6959EC5B" w:rsidR="00C65F93" w:rsidRDefault="00C65F93" w:rsidP="00C65F93">
      <w:pPr>
        <w:pStyle w:val="CMSIndent2"/>
        <w:ind w:left="567"/>
        <w:jc w:val="both"/>
      </w:pPr>
      <w:r>
        <w:t xml:space="preserve">Eine Unterrichtung und Sensibilisierung der Mitarbeiter </w:t>
      </w:r>
      <w:r w:rsidR="00B74B5A">
        <w:t xml:space="preserve">hinsichtlich Geldwäsche- und Terrorismusfinanzierung </w:t>
      </w:r>
      <w:r w:rsidR="006F0D26">
        <w:t>(Schulung)</w:t>
      </w:r>
      <w:r w:rsidR="00127670">
        <w:t xml:space="preserve"> </w:t>
      </w:r>
      <w:r w:rsidR="00FC710A">
        <w:t>erfolgt mind. einmal pro Jahr,</w:t>
      </w:r>
      <w:r>
        <w:t xml:space="preserve"> zuletzt am </w:t>
      </w:r>
      <w:r w:rsidR="00307647">
        <w:t>XX</w:t>
      </w:r>
      <w:r w:rsidR="00382705">
        <w:t>.XX.XXXX</w:t>
      </w:r>
      <w:r>
        <w:t>.</w:t>
      </w:r>
      <w:r w:rsidR="00B74B5A">
        <w:t xml:space="preserve"> </w:t>
      </w:r>
    </w:p>
    <w:p w14:paraId="0EB298E3" w14:textId="0B34E245" w:rsidR="008626C6" w:rsidRPr="000005B9" w:rsidRDefault="008626C6" w:rsidP="006F1C5F">
      <w:pPr>
        <w:pStyle w:val="CMSIndent3"/>
      </w:pPr>
    </w:p>
    <w:p w14:paraId="2213BCD5" w14:textId="048B835C" w:rsidR="008626C6" w:rsidRDefault="008626C6" w:rsidP="008626C6">
      <w:pPr>
        <w:pStyle w:val="CMSHeading3"/>
      </w:pPr>
      <w:bookmarkStart w:id="19" w:name="_Toc28008510"/>
      <w:r>
        <w:t xml:space="preserve">Jährliche </w:t>
      </w:r>
      <w:r w:rsidR="001A0BC6">
        <w:t>Überprüfung</w:t>
      </w:r>
      <w:r>
        <w:t xml:space="preserve"> dieser Risikoanalyse</w:t>
      </w:r>
      <w:bookmarkEnd w:id="19"/>
    </w:p>
    <w:p w14:paraId="027352B2" w14:textId="77777777" w:rsidR="008626C6" w:rsidRDefault="008626C6" w:rsidP="006F1C5F">
      <w:pPr>
        <w:pStyle w:val="CMSIndent3"/>
      </w:pPr>
    </w:p>
    <w:p w14:paraId="37A9EABB" w14:textId="1C9FF5E5" w:rsidR="00F06169" w:rsidRDefault="001A0BC6" w:rsidP="001A0BC6">
      <w:pPr>
        <w:pStyle w:val="CMSIndent2"/>
        <w:spacing w:after="120"/>
        <w:ind w:left="567"/>
        <w:jc w:val="both"/>
      </w:pPr>
      <w:r>
        <w:t xml:space="preserve">Die hier vorliegende Risikoanalyse </w:t>
      </w:r>
      <w:r w:rsidR="007174E0">
        <w:t xml:space="preserve">(aktueller Stand: </w:t>
      </w:r>
      <w:r w:rsidR="007B7BF8">
        <w:t>X</w:t>
      </w:r>
      <w:r w:rsidR="00382705">
        <w:t>X.</w:t>
      </w:r>
      <w:r w:rsidR="007B7BF8">
        <w:t>XX</w:t>
      </w:r>
      <w:r w:rsidR="00382705">
        <w:t>.XXXX</w:t>
      </w:r>
      <w:r w:rsidR="007174E0">
        <w:t xml:space="preserve">) </w:t>
      </w:r>
      <w:r>
        <w:t xml:space="preserve">wird regelmäßig </w:t>
      </w:r>
      <w:r w:rsidR="00A72734">
        <w:t>aktualisiert und bzw</w:t>
      </w:r>
      <w:r>
        <w:t>.</w:t>
      </w:r>
      <w:r w:rsidR="00A72734">
        <w:t xml:space="preserve"> auf ihre Aktualität überprüft</w:t>
      </w:r>
      <w:r w:rsidR="0020187A">
        <w:t xml:space="preserve"> (einmal jährlich empfohlen).</w:t>
      </w:r>
    </w:p>
    <w:p w14:paraId="2FD585CC" w14:textId="77777777" w:rsidR="00186C69" w:rsidRDefault="00186C69" w:rsidP="005C0674">
      <w:pPr>
        <w:pStyle w:val="CMSIndent2"/>
        <w:spacing w:after="120"/>
        <w:ind w:left="567"/>
        <w:jc w:val="both"/>
      </w:pPr>
    </w:p>
    <w:p w14:paraId="41E84F37" w14:textId="4EB581C5" w:rsidR="00B67AAE" w:rsidRDefault="001264BF" w:rsidP="00B67AAE">
      <w:pPr>
        <w:pStyle w:val="CMSHeading3"/>
      </w:pPr>
      <w:bookmarkStart w:id="20" w:name="_Toc28008511"/>
      <w:bookmarkStart w:id="21" w:name="_Hlk202868948"/>
      <w:r>
        <w:t>Unabhängige Überprüfung der Grundsätze</w:t>
      </w:r>
      <w:bookmarkEnd w:id="20"/>
    </w:p>
    <w:bookmarkEnd w:id="21"/>
    <w:p w14:paraId="3312A69D" w14:textId="77777777" w:rsidR="001264BF" w:rsidRDefault="001264BF" w:rsidP="006F1C5F">
      <w:pPr>
        <w:pStyle w:val="CMSIndent3"/>
      </w:pPr>
    </w:p>
    <w:p w14:paraId="2D690228" w14:textId="5DD45A32" w:rsidR="008F6406" w:rsidRDefault="001264BF" w:rsidP="00192515">
      <w:pPr>
        <w:pStyle w:val="CMSIndent3"/>
        <w:jc w:val="both"/>
      </w:pPr>
      <w:bookmarkStart w:id="22" w:name="_Hlk202868929"/>
      <w:r>
        <w:t xml:space="preserve">Eine </w:t>
      </w:r>
      <w:r w:rsidR="007B7BF8">
        <w:t xml:space="preserve">externe </w:t>
      </w:r>
      <w:r w:rsidR="001C4469">
        <w:t xml:space="preserve">unabhängige </w:t>
      </w:r>
      <w:r>
        <w:t xml:space="preserve">Überprüfung der zuvor genannten Grundsätze und Verfahren </w:t>
      </w:r>
      <w:proofErr w:type="spellStart"/>
      <w:r w:rsidR="001C4469">
        <w:t>i.S.d</w:t>
      </w:r>
      <w:proofErr w:type="spellEnd"/>
      <w:r w:rsidR="001C4469">
        <w:t xml:space="preserve">. § 6 Abs. 2 Nr. 7 GwG </w:t>
      </w:r>
      <w:r w:rsidR="00D26FF1">
        <w:t>erscheint</w:t>
      </w:r>
      <w:r>
        <w:t xml:space="preserve"> angesichts des insgesamt geringen Risikos für </w:t>
      </w:r>
      <w:r w:rsidR="007E0C76">
        <w:rPr>
          <w:i/>
        </w:rPr>
        <w:t>Beispielsfrau &amp; Mustermann</w:t>
      </w:r>
      <w:r w:rsidR="00307647" w:rsidRPr="00964329">
        <w:rPr>
          <w:i/>
        </w:rPr>
        <w:t xml:space="preserve"> </w:t>
      </w:r>
      <w:r w:rsidR="00D26FF1">
        <w:t>derzeit als</w:t>
      </w:r>
      <w:r>
        <w:t xml:space="preserve"> nicht erforderlich</w:t>
      </w:r>
      <w:r w:rsidR="00D26FF1">
        <w:t>.</w:t>
      </w:r>
    </w:p>
    <w:bookmarkEnd w:id="22"/>
    <w:p w14:paraId="7CF1C268" w14:textId="77777777" w:rsidR="00B67AAE" w:rsidRDefault="00B67AAE" w:rsidP="006F1C5F">
      <w:pPr>
        <w:pStyle w:val="CMSIndent3"/>
      </w:pPr>
    </w:p>
    <w:p w14:paraId="1BA42136" w14:textId="33E07F3B" w:rsidR="00186C69" w:rsidRDefault="00186C69" w:rsidP="00B67AAE">
      <w:pPr>
        <w:pStyle w:val="CMSHeading3"/>
      </w:pPr>
      <w:bookmarkStart w:id="23" w:name="_Toc28008512"/>
      <w:r>
        <w:t>Meldepflichten</w:t>
      </w:r>
      <w:bookmarkEnd w:id="23"/>
    </w:p>
    <w:p w14:paraId="1A660B10" w14:textId="77777777" w:rsidR="00186C69" w:rsidRDefault="00186C69" w:rsidP="00186C69">
      <w:pPr>
        <w:pStyle w:val="CMSIndent3"/>
      </w:pPr>
    </w:p>
    <w:p w14:paraId="5AFF71B2" w14:textId="1634C0A0" w:rsidR="00186C69" w:rsidRDefault="00186C69" w:rsidP="00387C48">
      <w:pPr>
        <w:pStyle w:val="CMSIndent3"/>
        <w:jc w:val="both"/>
      </w:pPr>
      <w:r>
        <w:t xml:space="preserve">Ein Prozess zur Erfüllung der Meldepflicht nach § 43 Abs. 1 GwG </w:t>
      </w:r>
      <w:r w:rsidR="00127670">
        <w:t xml:space="preserve">nach Maßgabe der kanzleiinternen Geldwäscherichtlinie </w:t>
      </w:r>
      <w:r>
        <w:t>ist etabliert</w:t>
      </w:r>
      <w:r w:rsidR="00127670">
        <w:t>.</w:t>
      </w:r>
    </w:p>
    <w:p w14:paraId="72D7A7A8" w14:textId="77777777" w:rsidR="00127670" w:rsidRDefault="00127670" w:rsidP="00127670">
      <w:pPr>
        <w:pStyle w:val="CMSIndent3"/>
        <w:ind w:left="0"/>
      </w:pPr>
    </w:p>
    <w:p w14:paraId="4EC750E3" w14:textId="7DA72D0C" w:rsidR="00127670" w:rsidRDefault="00127670" w:rsidP="00127670">
      <w:pPr>
        <w:pStyle w:val="CMSIndent2"/>
        <w:ind w:left="567"/>
        <w:jc w:val="both"/>
      </w:pPr>
      <w:r w:rsidRPr="005C0674">
        <w:rPr>
          <w:i/>
        </w:rPr>
        <w:t xml:space="preserve">Beispielsfrau &amp; Mustermann </w:t>
      </w:r>
      <w:r w:rsidRPr="005C0674">
        <w:t>musste als Verpflichtete</w:t>
      </w:r>
      <w:r>
        <w:t>/r</w:t>
      </w:r>
      <w:r w:rsidRPr="005C0674">
        <w:t xml:space="preserve"> nach dem GwG bislang </w:t>
      </w:r>
      <w:r>
        <w:t>(</w:t>
      </w:r>
      <w:r w:rsidRPr="00E541CA">
        <w:rPr>
          <w:b/>
        </w:rPr>
        <w:t>[Bitte ausführen: keine/Anzahl…]</w:t>
      </w:r>
      <w:r w:rsidRPr="005C0674">
        <w:t xml:space="preserve"> Verdachtsmeldungen nach § 43 Abs. 1</w:t>
      </w:r>
      <w:r w:rsidRPr="00FD1ACB">
        <w:t xml:space="preserve">, Abs. 2 </w:t>
      </w:r>
      <w:r>
        <w:t xml:space="preserve">GwG </w:t>
      </w:r>
      <w:r w:rsidRPr="00FD1ACB">
        <w:t>(Gewissheitsmeldung) und/oder</w:t>
      </w:r>
      <w:r>
        <w:t xml:space="preserve"> (</w:t>
      </w:r>
      <w:r w:rsidRPr="00FD1ACB">
        <w:t xml:space="preserve"> </w:t>
      </w:r>
      <w:r w:rsidRPr="00127670">
        <w:t>[</w:t>
      </w:r>
      <w:r w:rsidRPr="00E541CA">
        <w:rPr>
          <w:b/>
        </w:rPr>
        <w:t>Bitte ausführen:</w:t>
      </w:r>
      <w:r w:rsidRPr="00127670">
        <w:t xml:space="preserve"> keine/Anzahl…]</w:t>
      </w:r>
      <w:r>
        <w:t>)</w:t>
      </w:r>
      <w:r>
        <w:br w:type="textWrapping" w:clear="all"/>
      </w:r>
      <w:r w:rsidRPr="00FD1ACB">
        <w:t xml:space="preserve">§ 43 Abs. 6 </w:t>
      </w:r>
      <w:r>
        <w:t xml:space="preserve">GwG </w:t>
      </w:r>
      <w:proofErr w:type="spellStart"/>
      <w:r w:rsidRPr="00FD1ACB">
        <w:t>i.V.m</w:t>
      </w:r>
      <w:proofErr w:type="spellEnd"/>
      <w:r w:rsidRPr="00FD1ACB">
        <w:t xml:space="preserve">. der </w:t>
      </w:r>
      <w:proofErr w:type="spellStart"/>
      <w:r w:rsidRPr="00FD1ACB">
        <w:t>GwGMeldV</w:t>
      </w:r>
      <w:proofErr w:type="spellEnd"/>
      <w:r w:rsidRPr="00FD1ACB">
        <w:t>-Immobilien (Verdachtsmeldung) erstatten.</w:t>
      </w:r>
    </w:p>
    <w:p w14:paraId="090BFA99" w14:textId="54BA2397" w:rsidR="00186C69" w:rsidRDefault="00186C69" w:rsidP="00186C69">
      <w:pPr>
        <w:pStyle w:val="CMSIndent3"/>
        <w:ind w:left="0"/>
      </w:pPr>
    </w:p>
    <w:p w14:paraId="5DD01EA5" w14:textId="77777777" w:rsidR="00310E7B" w:rsidRPr="00186C69" w:rsidRDefault="00310E7B" w:rsidP="00186C69">
      <w:pPr>
        <w:pStyle w:val="CMSIndent3"/>
        <w:ind w:left="0"/>
      </w:pPr>
    </w:p>
    <w:p w14:paraId="467DC463" w14:textId="00423505" w:rsidR="00186C69" w:rsidRDefault="00186C69" w:rsidP="00B67AAE">
      <w:pPr>
        <w:pStyle w:val="CMSHeading3"/>
      </w:pPr>
      <w:bookmarkStart w:id="24" w:name="_Toc28008513"/>
      <w:r>
        <w:t>Aufzeichnungs- und Aufbewahrungspflichten</w:t>
      </w:r>
      <w:bookmarkEnd w:id="24"/>
    </w:p>
    <w:p w14:paraId="61E3EE84" w14:textId="77777777" w:rsidR="00186C69" w:rsidRDefault="00186C69" w:rsidP="00186C69">
      <w:pPr>
        <w:pStyle w:val="CMSIndent3"/>
      </w:pPr>
    </w:p>
    <w:p w14:paraId="22A4ECF8" w14:textId="56E73DB4" w:rsidR="00186C69" w:rsidRDefault="00186C69" w:rsidP="00387C48">
      <w:pPr>
        <w:pStyle w:val="CMSIndent3"/>
        <w:jc w:val="both"/>
      </w:pPr>
      <w:r>
        <w:t>Ein Prozess zur Erfüllung der Aufzeichnungs- und Aufbewahrungspflichten nach § 8 GwG ist etabliert</w:t>
      </w:r>
      <w:r w:rsidR="00522FC0">
        <w:t xml:space="preserve"> [</w:t>
      </w:r>
      <w:r w:rsidR="00522FC0" w:rsidRPr="00FB656D">
        <w:rPr>
          <w:b/>
        </w:rPr>
        <w:t>Bitte weiter ausführen</w:t>
      </w:r>
      <w:r w:rsidR="00522FC0">
        <w:t>].</w:t>
      </w:r>
    </w:p>
    <w:p w14:paraId="0C046BA0" w14:textId="77777777" w:rsidR="00186C69" w:rsidRDefault="00186C69" w:rsidP="008F6406">
      <w:pPr>
        <w:pStyle w:val="CMSIndent3"/>
        <w:ind w:left="0"/>
      </w:pPr>
    </w:p>
    <w:p w14:paraId="0102DA6F" w14:textId="77777777" w:rsidR="00E80DBD" w:rsidRPr="00186C69" w:rsidRDefault="00E80DBD" w:rsidP="00186C69">
      <w:pPr>
        <w:pStyle w:val="CMSIndent3"/>
      </w:pPr>
    </w:p>
    <w:p w14:paraId="45B0288E" w14:textId="00CE7639" w:rsidR="00B67AAE" w:rsidRDefault="00127670" w:rsidP="00B67AAE">
      <w:pPr>
        <w:pStyle w:val="CMSHeading3"/>
      </w:pPr>
      <w:r>
        <w:lastRenderedPageBreak/>
        <w:t xml:space="preserve">Kanzleiinternes </w:t>
      </w:r>
      <w:r w:rsidR="006062AB">
        <w:t>Melde-/</w:t>
      </w:r>
      <w:r>
        <w:t>Hinweisgebersystem (§ 6 Abs. 5 GwG)</w:t>
      </w:r>
    </w:p>
    <w:p w14:paraId="59BD13DF" w14:textId="77777777" w:rsidR="00B67AAE" w:rsidRDefault="00B67AAE" w:rsidP="006F1C5F">
      <w:pPr>
        <w:pStyle w:val="CMSIndent3"/>
      </w:pPr>
    </w:p>
    <w:p w14:paraId="073C829B" w14:textId="2D370003" w:rsidR="00B67AAE" w:rsidRPr="006F1C5F" w:rsidRDefault="001264BF" w:rsidP="00ED73E5">
      <w:pPr>
        <w:pStyle w:val="CMSIndent3"/>
        <w:jc w:val="both"/>
      </w:pPr>
      <w:r>
        <w:t xml:space="preserve">Verstöße gegen geldwäscherechtliche Vorschriften </w:t>
      </w:r>
      <w:r w:rsidR="00D26FF1">
        <w:t xml:space="preserve">können </w:t>
      </w:r>
      <w:r>
        <w:t>un</w:t>
      </w:r>
      <w:r w:rsidR="00D26FF1">
        <w:t xml:space="preserve">ter Wahrung der Vertraulichkeit an </w:t>
      </w:r>
      <w:r w:rsidR="00817B7D" w:rsidRPr="00E146EC">
        <w:rPr>
          <w:i/>
        </w:rPr>
        <w:t>(E-Mail</w:t>
      </w:r>
      <w:r w:rsidR="00817B7D">
        <w:t xml:space="preserve">) </w:t>
      </w:r>
      <w:r>
        <w:t>gemeldet werden.</w:t>
      </w:r>
    </w:p>
    <w:p w14:paraId="6FC37C0D" w14:textId="77777777" w:rsidR="00184B92" w:rsidRDefault="00184B92" w:rsidP="005B5A00">
      <w:pPr>
        <w:pStyle w:val="CMSIndent2"/>
        <w:jc w:val="both"/>
      </w:pPr>
    </w:p>
    <w:p w14:paraId="101B0506" w14:textId="77777777" w:rsidR="00F06169" w:rsidRDefault="00F06169" w:rsidP="005B5A00">
      <w:pPr>
        <w:pStyle w:val="CMSIndent2"/>
        <w:jc w:val="both"/>
      </w:pPr>
    </w:p>
    <w:p w14:paraId="113FBCB1" w14:textId="165A522D" w:rsidR="001A02EB" w:rsidRPr="0082660A" w:rsidRDefault="001A02EB" w:rsidP="00DA48BC">
      <w:pPr>
        <w:pStyle w:val="CMSHeading2"/>
        <w:jc w:val="both"/>
        <w:rPr>
          <w:color w:val="002060"/>
          <w:sz w:val="28"/>
          <w:szCs w:val="28"/>
        </w:rPr>
      </w:pPr>
      <w:bookmarkStart w:id="25" w:name="_Toc28008515"/>
      <w:r w:rsidRPr="00DA48BC">
        <w:rPr>
          <w:color w:val="002060"/>
          <w:sz w:val="28"/>
          <w:szCs w:val="28"/>
        </w:rPr>
        <w:t>Ansprechpartner</w:t>
      </w:r>
      <w:r w:rsidR="002C064C" w:rsidRPr="00DA48BC">
        <w:rPr>
          <w:color w:val="002060"/>
          <w:sz w:val="28"/>
          <w:szCs w:val="28"/>
        </w:rPr>
        <w:t xml:space="preserve"> / Geldwäschebeauftragte</w:t>
      </w:r>
      <w:r w:rsidR="009B47B8">
        <w:rPr>
          <w:color w:val="002060"/>
          <w:sz w:val="28"/>
          <w:szCs w:val="28"/>
        </w:rPr>
        <w:t>/</w:t>
      </w:r>
      <w:r w:rsidR="002C064C" w:rsidRPr="00DA48BC">
        <w:rPr>
          <w:color w:val="002060"/>
          <w:sz w:val="28"/>
          <w:szCs w:val="28"/>
        </w:rPr>
        <w:t>r</w:t>
      </w:r>
      <w:bookmarkEnd w:id="25"/>
    </w:p>
    <w:p w14:paraId="5536810E" w14:textId="77777777" w:rsidR="001A02EB" w:rsidRDefault="001A02EB" w:rsidP="00DA48BC">
      <w:pPr>
        <w:pStyle w:val="CMSIndent2"/>
        <w:jc w:val="both"/>
      </w:pPr>
    </w:p>
    <w:p w14:paraId="3A6ED17F" w14:textId="16E168A2" w:rsidR="00B67AAE" w:rsidRPr="00186C69" w:rsidRDefault="00186C69" w:rsidP="006F1C5F">
      <w:pPr>
        <w:pStyle w:val="CMSIndent2"/>
        <w:ind w:left="567"/>
        <w:jc w:val="both"/>
      </w:pPr>
      <w:r>
        <w:t xml:space="preserve">Verantwortlich für das Risikomanagement ist [Mitglied Geschäftsleitung]. </w:t>
      </w:r>
      <w:r w:rsidR="006F0D26">
        <w:t xml:space="preserve">Ansprechpartner </w:t>
      </w:r>
      <w:r w:rsidR="006062AB">
        <w:t xml:space="preserve">für die Rechtsanwaltskammer/Aufsichtsbehörden </w:t>
      </w:r>
      <w:proofErr w:type="spellStart"/>
      <w:r w:rsidR="006F0D26">
        <w:t>i.S.d</w:t>
      </w:r>
      <w:proofErr w:type="spellEnd"/>
      <w:r w:rsidR="006F0D26">
        <w:t xml:space="preserve">. § 7 Abs. 5 S. 1 GwG ist/sind der/die </w:t>
      </w:r>
      <w:r w:rsidR="009D6402">
        <w:t xml:space="preserve">Geldwäschebeauftragte </w:t>
      </w:r>
      <w:r w:rsidR="00531E5F">
        <w:t xml:space="preserve">von </w:t>
      </w:r>
      <w:r w:rsidR="007E0C76">
        <w:rPr>
          <w:i/>
        </w:rPr>
        <w:t>Beispielsfrau &amp; Mustermann</w:t>
      </w:r>
      <w:r w:rsidR="00650A8B">
        <w:rPr>
          <w:i/>
        </w:rPr>
        <w:t>, XX</w:t>
      </w:r>
      <w:r w:rsidR="00307647" w:rsidRPr="00964329">
        <w:rPr>
          <w:i/>
        </w:rPr>
        <w:t xml:space="preserve"> </w:t>
      </w:r>
      <w:r w:rsidR="009D6402" w:rsidRPr="00186C69">
        <w:t>/ Stellvertreter</w:t>
      </w:r>
      <w:r w:rsidR="004802CF" w:rsidRPr="00186C69">
        <w:t xml:space="preserve">: </w:t>
      </w:r>
      <w:r w:rsidR="00307647" w:rsidRPr="00186C69">
        <w:t>XX</w:t>
      </w:r>
      <w:r w:rsidR="009D6402" w:rsidRPr="00186C69">
        <w:t>.</w:t>
      </w:r>
    </w:p>
    <w:p w14:paraId="4867C77C" w14:textId="77777777" w:rsidR="00B67AAE" w:rsidRDefault="00B67AAE" w:rsidP="006F1C5F">
      <w:pPr>
        <w:pStyle w:val="CMSIndent2"/>
        <w:ind w:left="567"/>
        <w:jc w:val="both"/>
      </w:pPr>
    </w:p>
    <w:p w14:paraId="505CAB6D" w14:textId="77777777" w:rsidR="00B67AAE" w:rsidRDefault="00B67AAE" w:rsidP="006F1C5F">
      <w:pPr>
        <w:pStyle w:val="CMSIndent2"/>
        <w:ind w:left="567"/>
        <w:jc w:val="both"/>
      </w:pPr>
    </w:p>
    <w:p w14:paraId="0E29441A" w14:textId="589CF7F3" w:rsidR="00B67AAE" w:rsidRDefault="00817B7D" w:rsidP="006F1C5F">
      <w:pPr>
        <w:pStyle w:val="CMSIndent2"/>
        <w:ind w:left="567"/>
        <w:jc w:val="both"/>
      </w:pPr>
      <w:r>
        <w:t>Ort</w:t>
      </w:r>
      <w:r w:rsidR="00CF11D8">
        <w:t xml:space="preserve">, </w:t>
      </w:r>
      <w:r w:rsidR="00307647">
        <w:t>Datum</w:t>
      </w:r>
    </w:p>
    <w:p w14:paraId="6C0A9DF4" w14:textId="77777777" w:rsidR="00A76D61" w:rsidRDefault="00A76D61" w:rsidP="006F1C5F">
      <w:pPr>
        <w:pStyle w:val="CMSIndent2"/>
        <w:ind w:left="567"/>
        <w:jc w:val="both"/>
      </w:pPr>
    </w:p>
    <w:p w14:paraId="6E5A8A8E" w14:textId="66D87758" w:rsidR="00A76D61" w:rsidRDefault="00307647" w:rsidP="006F1C5F">
      <w:pPr>
        <w:pStyle w:val="CMSIndent2"/>
        <w:ind w:left="567"/>
        <w:jc w:val="both"/>
      </w:pPr>
      <w:r>
        <w:t xml:space="preserve">Unterschrift </w:t>
      </w:r>
      <w:r w:rsidR="00186C69">
        <w:t xml:space="preserve">Mitglied </w:t>
      </w:r>
      <w:r>
        <w:t>Geschäftsleitung</w:t>
      </w:r>
    </w:p>
    <w:p w14:paraId="24A3683F" w14:textId="77777777" w:rsidR="00A041E3" w:rsidRPr="0047022D" w:rsidRDefault="00A041E3" w:rsidP="006F1C5F">
      <w:pPr>
        <w:ind w:left="567"/>
        <w:jc w:val="both"/>
      </w:pPr>
    </w:p>
    <w:sectPr w:rsidR="00A041E3" w:rsidRPr="0047022D" w:rsidSect="00856654">
      <w:headerReference w:type="even" r:id="rId10"/>
      <w:headerReference w:type="default" r:id="rId11"/>
      <w:footerReference w:type="default" r:id="rId12"/>
      <w:headerReference w:type="first" r:id="rId13"/>
      <w:footerReference w:type="first" r:id="rId14"/>
      <w:pgSz w:w="11907" w:h="16840" w:code="9"/>
      <w:pgMar w:top="1418" w:right="1275" w:bottom="1418" w:left="1418" w:header="1474" w:footer="1134" w:gutter="0"/>
      <w:pgNumType w:start="0"/>
      <w:cols w:space="720"/>
      <w:titlePg/>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B30C6E3">
    <w16cex:extLst>
      <w16:ext w16:uri="{CE6994B0-6A32-4C9F-8C6B-6E91EDA988CE}">
        <cr:reactions xmlns:cr="http://schemas.microsoft.com/office/comments/2020/reactions">
          <cr:reaction reactionType="1">
            <cr:reactionInfo dateUtc="2025-01-17T12:27:37Z">
              <cr:user userId="S::timo.hermesmeier@pwc.com::67c925b9-6672-43a7-9483-c4e13f75fb44" userProvider="AD" userName="Timo Hermesmeier (DE)"/>
            </cr:reactionInfo>
          </cr:reaction>
        </cr:reactions>
      </w16:ext>
    </w16cex:extLst>
  </w16cex:commentExtensible>
  <w16cex:commentExtensible w16cex:durableId="121DDEA9" w16cex:dateUtc="2025-01-20T12:32:00Z"/>
  <w16cex:commentExtensible w16cex:durableId="2E4B45EE" w16cex:dateUtc="2025-01-20T12:35:00Z"/>
  <w16cex:commentExtensible w16cex:durableId="0E69D665" w16cex:dateUtc="2025-01-20T12:38:00Z"/>
  <w16cex:commentExtensible w16cex:durableId="4BA074A0" w16cex:dateUtc="2025-01-20T12:3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00821B" w14:textId="77777777" w:rsidR="00E437B1" w:rsidRDefault="00E437B1">
      <w:r>
        <w:separator/>
      </w:r>
    </w:p>
  </w:endnote>
  <w:endnote w:type="continuationSeparator" w:id="0">
    <w:p w14:paraId="7D932CE6" w14:textId="77777777" w:rsidR="00E437B1" w:rsidRDefault="00E43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D9345" w14:textId="36951492" w:rsidR="00E437B1" w:rsidRPr="00362961" w:rsidRDefault="00E437B1" w:rsidP="005E72C4">
    <w:pPr>
      <w:pStyle w:val="Fuzeile"/>
      <w:tabs>
        <w:tab w:val="left" w:pos="5550"/>
      </w:tabs>
      <w:rPr>
        <w:rFonts w:ascii="Arial" w:hAnsi="Arial" w:cs="Arial"/>
      </w:rPr>
    </w:pPr>
    <w:r w:rsidRPr="00362961">
      <w:rPr>
        <w:rFonts w:ascii="Arial" w:hAnsi="Arial" w:cs="Arial"/>
      </w:rPr>
      <w:t>(Stand:</w:t>
    </w:r>
    <w:r>
      <w:rPr>
        <w:rFonts w:ascii="Arial" w:hAnsi="Arial" w:cs="Arial"/>
      </w:rPr>
      <w:t xml:space="preserve"> Ju</w:t>
    </w:r>
    <w:r w:rsidR="00BC52DC">
      <w:rPr>
        <w:rFonts w:ascii="Arial" w:hAnsi="Arial" w:cs="Arial"/>
      </w:rPr>
      <w:t>l</w:t>
    </w:r>
    <w:r>
      <w:rPr>
        <w:rFonts w:ascii="Arial" w:hAnsi="Arial" w:cs="Arial"/>
      </w:rPr>
      <w:t>i 2025</w:t>
    </w:r>
    <w:r w:rsidRPr="00362961">
      <w:rPr>
        <w:rFonts w:ascii="Arial" w:hAnsi="Arial" w:cs="Arial"/>
      </w:rPr>
      <w:t>)</w:t>
    </w:r>
  </w:p>
  <w:p w14:paraId="49F1B0A2" w14:textId="4EC3BDF5" w:rsidR="00E437B1" w:rsidRDefault="00E437B1">
    <w:pPr>
      <w:pStyle w:val="Fuzeile"/>
    </w:pPr>
    <w:r>
      <w:tab/>
    </w:r>
    <w:r>
      <w:tab/>
    </w:r>
    <w:r w:rsidRPr="00E85A90">
      <w:t xml:space="preserve">Seite </w:t>
    </w:r>
    <w:r w:rsidRPr="00E85A90">
      <w:fldChar w:fldCharType="begin"/>
    </w:r>
    <w:r w:rsidRPr="00E85A90">
      <w:instrText xml:space="preserve"> PAGE  \* Arabic  \* MERGEFORMAT </w:instrText>
    </w:r>
    <w:r w:rsidRPr="00E85A90">
      <w:fldChar w:fldCharType="separate"/>
    </w:r>
    <w:r>
      <w:rPr>
        <w:noProof/>
      </w:rPr>
      <w:t>20</w:t>
    </w:r>
    <w:r w:rsidRPr="00E85A90">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9FB936" w14:textId="1042E7CE" w:rsidR="00E437B1" w:rsidRPr="00362961" w:rsidRDefault="00E437B1" w:rsidP="005E72C4">
    <w:pPr>
      <w:pStyle w:val="Fuzeile"/>
      <w:tabs>
        <w:tab w:val="left" w:pos="5550"/>
      </w:tabs>
      <w:rPr>
        <w:rFonts w:ascii="Arial" w:hAnsi="Arial" w:cs="Arial"/>
      </w:rPr>
    </w:pPr>
    <w:r w:rsidRPr="00362961">
      <w:rPr>
        <w:rFonts w:ascii="Arial" w:hAnsi="Arial" w:cs="Arial"/>
      </w:rPr>
      <w:t>(Stand:</w:t>
    </w:r>
    <w:r>
      <w:rPr>
        <w:rFonts w:ascii="Arial" w:hAnsi="Arial" w:cs="Arial"/>
      </w:rPr>
      <w:t xml:space="preserve"> Ju</w:t>
    </w:r>
    <w:r w:rsidR="00BC52DC">
      <w:rPr>
        <w:rFonts w:ascii="Arial" w:hAnsi="Arial" w:cs="Arial"/>
      </w:rPr>
      <w:t>l</w:t>
    </w:r>
    <w:r>
      <w:rPr>
        <w:rFonts w:ascii="Arial" w:hAnsi="Arial" w:cs="Arial"/>
      </w:rPr>
      <w:t>i 2025</w:t>
    </w:r>
    <w:r w:rsidRPr="00362961">
      <w:rPr>
        <w:rFonts w:ascii="Arial" w:hAnsi="Arial" w:cs="Arial"/>
      </w:rPr>
      <w:t>)</w:t>
    </w:r>
  </w:p>
  <w:p w14:paraId="4038B020" w14:textId="3D533908" w:rsidR="00E437B1" w:rsidRDefault="00E437B1">
    <w:pPr>
      <w:pStyle w:val="Fuzeile"/>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71BEE8" w14:textId="77777777" w:rsidR="00E437B1" w:rsidRDefault="00E437B1">
      <w:r>
        <w:separator/>
      </w:r>
    </w:p>
  </w:footnote>
  <w:footnote w:type="continuationSeparator" w:id="0">
    <w:p w14:paraId="5D2CB907" w14:textId="77777777" w:rsidR="00E437B1" w:rsidRDefault="00E437B1">
      <w:r>
        <w:continuationSeparator/>
      </w:r>
    </w:p>
  </w:footnote>
  <w:footnote w:id="1">
    <w:p w14:paraId="76AE5B5A" w14:textId="25CD157F" w:rsidR="00E437B1" w:rsidRDefault="00E437B1" w:rsidP="00E541CA">
      <w:pPr>
        <w:pStyle w:val="Funotentext"/>
        <w:jc w:val="both"/>
      </w:pPr>
      <w:r>
        <w:rPr>
          <w:rStyle w:val="Funotenzeichen"/>
        </w:rPr>
        <w:footnoteRef/>
      </w:r>
      <w:r>
        <w:t xml:space="preserve"> Zur Verpflichtetenstellung gem. § 2 Abs. 1 Nr. 10 GwG siehe auch die Auslegungs- und Anwendungshinweise der Bundesrechtsanwaltskammer, 8. Auflage vom 25.07.2024, Rn. 4-33.</w:t>
      </w:r>
    </w:p>
  </w:footnote>
  <w:footnote w:id="2">
    <w:p w14:paraId="15A823F0" w14:textId="328340D9" w:rsidR="00E437B1" w:rsidRDefault="00E437B1" w:rsidP="000A0CAE">
      <w:pPr>
        <w:pStyle w:val="Funotentext"/>
        <w:jc w:val="both"/>
      </w:pPr>
      <w:r>
        <w:rPr>
          <w:rStyle w:val="Funotenzeichen"/>
        </w:rPr>
        <w:footnoteRef/>
      </w:r>
      <w:r>
        <w:t xml:space="preserve">Siehe hierzu die aktuelle Übersicht der Zentralstelle für Finanztransaktionsuntersuchungen (FIU): </w:t>
      </w:r>
      <w:hyperlink r:id="rId1" w:history="1">
        <w:r w:rsidRPr="00B21A1D">
          <w:rPr>
            <w:rStyle w:val="Hyperlink"/>
          </w:rPr>
          <w:t>https://www.zoll.de/DE/FIU/Fachliche-Informationen/Drittlaender/drittlaender_node.html</w:t>
        </w:r>
      </w:hyperlink>
    </w:p>
  </w:footnote>
  <w:footnote w:id="3">
    <w:p w14:paraId="4D7DC3C2" w14:textId="429D2A9D" w:rsidR="00E437B1" w:rsidRDefault="00E437B1" w:rsidP="00192515">
      <w:pPr>
        <w:pStyle w:val="Funotentext"/>
        <w:jc w:val="both"/>
      </w:pPr>
      <w:r>
        <w:rPr>
          <w:rStyle w:val="Funotenzeichen"/>
        </w:rPr>
        <w:footnoteRef/>
      </w:r>
      <w:r>
        <w:t xml:space="preserve"> </w:t>
      </w:r>
      <w:r w:rsidRPr="00FF749B">
        <w:t xml:space="preserve">Erste Nationale Risikoanalyse des Bundesministeriums für Finanzen (BMF) vom 19.10.2019: </w:t>
      </w:r>
      <w:hyperlink r:id="rId2" w:history="1">
        <w:r w:rsidRPr="00177EFF">
          <w:rPr>
            <w:rStyle w:val="Hyperlink"/>
          </w:rPr>
          <w:t>https://www.bundesfinanzministerium.de/Content/DE/Downloads/Broschueren_Bestellservice/2019-10-19-erste-nationale-risikoanalyse_2018-2019.html</w:t>
        </w:r>
      </w:hyperlink>
    </w:p>
  </w:footnote>
  <w:footnote w:id="4">
    <w:p w14:paraId="293CF08E" w14:textId="77777777" w:rsidR="00E437B1" w:rsidRDefault="00E437B1" w:rsidP="00192515">
      <w:pPr>
        <w:pStyle w:val="Funotentext"/>
        <w:jc w:val="both"/>
        <w:rPr>
          <w:rFonts w:ascii="Times New Roman" w:hAnsi="Times New Roman"/>
          <w:color w:val="000000" w:themeColor="text1"/>
        </w:rPr>
      </w:pPr>
      <w:r>
        <w:rPr>
          <w:rStyle w:val="Funotenzeichen"/>
        </w:rPr>
        <w:footnoteRef/>
      </w:r>
      <w:hyperlink r:id="rId3" w:history="1">
        <w:r w:rsidRPr="00B21A1D">
          <w:rPr>
            <w:rStyle w:val="Hyperlink"/>
            <w:rFonts w:ascii="Times New Roman" w:hAnsi="Times New Roman"/>
          </w:rPr>
          <w:t>https://ec.europa.eu/info/sites/info/files/supranational_risk_assessment_of_the_money_laundering_and_terrorist_financing_risks_affecting_the_union.pdf</w:t>
        </w:r>
      </w:hyperlink>
    </w:p>
    <w:p w14:paraId="21E54DD5" w14:textId="77777777" w:rsidR="00E437B1" w:rsidRDefault="00E437B1" w:rsidP="00FF749B">
      <w:pPr>
        <w:pStyle w:val="Funotentext"/>
      </w:pPr>
    </w:p>
  </w:footnote>
  <w:footnote w:id="5">
    <w:p w14:paraId="69A97662" w14:textId="77777777" w:rsidR="00E437B1" w:rsidRPr="00650A8B" w:rsidRDefault="00E437B1" w:rsidP="00CA1772">
      <w:pPr>
        <w:pStyle w:val="Funotentext"/>
        <w:jc w:val="both"/>
        <w:rPr>
          <w:lang w:val="en-US"/>
        </w:rPr>
      </w:pPr>
      <w:r>
        <w:rPr>
          <w:rStyle w:val="Funotenzeichen"/>
        </w:rPr>
        <w:footnoteRef/>
      </w:r>
      <w:r w:rsidRPr="00650A8B">
        <w:rPr>
          <w:lang w:val="en-US"/>
        </w:rPr>
        <w:t xml:space="preserve"> </w:t>
      </w:r>
      <w:r w:rsidRPr="00650A8B">
        <w:rPr>
          <w:lang w:val="en-US"/>
        </w:rPr>
        <w:t xml:space="preserve">Bericht der OECD aus 2021: Peer Review of the Automatic Exchange of Financial Account Information 2021, OECD (2021), OECD Publishing, Paris, </w:t>
      </w:r>
      <w:hyperlink r:id="rId4" w:history="1">
        <w:r w:rsidRPr="00650A8B">
          <w:rPr>
            <w:rStyle w:val="Hyperlink"/>
            <w:lang w:val="en-US"/>
          </w:rPr>
          <w:t>https://doi.org/10.1787/90bac5f5-en</w:t>
        </w:r>
      </w:hyperlink>
      <w:r w:rsidRPr="00650A8B">
        <w:rPr>
          <w:lang w:val="en-US"/>
        </w:rPr>
        <w:t>., S. 151 f.</w:t>
      </w:r>
    </w:p>
  </w:footnote>
  <w:footnote w:id="6">
    <w:p w14:paraId="252F7DD9" w14:textId="77777777" w:rsidR="00E437B1" w:rsidRPr="00650A8B" w:rsidRDefault="00E437B1" w:rsidP="00CA1772">
      <w:pPr>
        <w:pStyle w:val="Funotentext"/>
        <w:jc w:val="both"/>
        <w:rPr>
          <w:lang w:val="en-US"/>
        </w:rPr>
      </w:pPr>
      <w:r>
        <w:rPr>
          <w:rStyle w:val="Funotenzeichen"/>
        </w:rPr>
        <w:footnoteRef/>
      </w:r>
      <w:r w:rsidRPr="00650A8B">
        <w:rPr>
          <w:lang w:val="en-US"/>
        </w:rPr>
        <w:t xml:space="preserve"> Guidance for a risk based approach for legal professionals der FATF, S. 9, 13/14: </w:t>
      </w:r>
      <w:hyperlink r:id="rId5" w:history="1">
        <w:r w:rsidRPr="00650A8B">
          <w:rPr>
            <w:rStyle w:val="Hyperlink"/>
            <w:lang w:val="en-US"/>
          </w:rPr>
          <w:t>https://www.fatf-gafi.org/en/publications/Fatfrecommendations/Rba-legal-professionals.html</w:t>
        </w:r>
      </w:hyperlink>
    </w:p>
  </w:footnote>
  <w:footnote w:id="7">
    <w:p w14:paraId="29FBA50E" w14:textId="77777777" w:rsidR="00E437B1" w:rsidRDefault="00E437B1" w:rsidP="00192515">
      <w:pPr>
        <w:pStyle w:val="Funotentext"/>
        <w:jc w:val="both"/>
      </w:pPr>
      <w:r>
        <w:rPr>
          <w:rStyle w:val="Funotenzeichen"/>
        </w:rPr>
        <w:footnoteRef/>
      </w:r>
      <w:r>
        <w:t xml:space="preserve"> 3. Supranationale Risikoanalyse der EU-Kommission vom 27.10.2022, S. 12 zur Begünstigung der Anonymität und Schwierigkeit der Ermittlung von wirtschaftlich Berechtigten bei der Verwendung von Sammelkonten: </w:t>
      </w:r>
      <w:hyperlink r:id="rId6" w:history="1">
        <w:r w:rsidRPr="00B21A1D">
          <w:rPr>
            <w:rStyle w:val="Hyperlink"/>
          </w:rPr>
          <w:t>https://eur-lex.europa.eu/legal-content/DE/TXT/PDF/?uri=CELEX:52022DC0554&amp;from=EN</w:t>
        </w:r>
      </w:hyperlink>
    </w:p>
  </w:footnote>
  <w:footnote w:id="8">
    <w:p w14:paraId="49E5D931" w14:textId="72C26235" w:rsidR="00E437B1" w:rsidRDefault="00E437B1" w:rsidP="00192515">
      <w:pPr>
        <w:pStyle w:val="Funotentext"/>
        <w:jc w:val="both"/>
      </w:pPr>
      <w:r>
        <w:rPr>
          <w:rStyle w:val="Funotenzeichen"/>
        </w:rPr>
        <w:footnoteRef/>
      </w:r>
      <w:r w:rsidR="000A0CAE">
        <w:t xml:space="preserve"> </w:t>
      </w:r>
      <w:r w:rsidR="00CA1772">
        <w:t xml:space="preserve">Liste der FIU - </w:t>
      </w:r>
      <w:r w:rsidR="00CA1772" w:rsidRPr="00CA1772">
        <w:t>Drittländer mit hohem Risiko</w:t>
      </w:r>
      <w:r w:rsidR="00CA1772">
        <w:t xml:space="preserve">: </w:t>
      </w:r>
      <w:hyperlink r:id="rId7" w:history="1">
        <w:r w:rsidR="00CA1772" w:rsidRPr="00CA1772">
          <w:rPr>
            <w:rStyle w:val="Hyperlink"/>
          </w:rPr>
          <w:t>https://www.zoll.de/DE/FIU/Fachliche-Informationen/Drittlaender/drittlaender_node.html</w:t>
        </w:r>
      </w:hyperlink>
    </w:p>
  </w:footnote>
  <w:footnote w:id="9">
    <w:p w14:paraId="4BBE97CD" w14:textId="754248E4" w:rsidR="00E437B1" w:rsidRDefault="00E437B1" w:rsidP="00CA1772">
      <w:pPr>
        <w:pStyle w:val="Funotentext"/>
        <w:jc w:val="both"/>
      </w:pPr>
      <w:r w:rsidRPr="005914CF">
        <w:rPr>
          <w:rStyle w:val="Funotenzeichen"/>
        </w:rPr>
        <w:footnoteRef/>
      </w:r>
      <w:hyperlink r:id="rId8" w:history="1">
        <w:r w:rsidRPr="00B21A1D">
          <w:rPr>
            <w:rStyle w:val="Hyperlink"/>
          </w:rPr>
          <w:t>https://www.bundesfinanzministerium.de/Content/DE/Downloads/Broschueren_Bestellservice/2019-10-19-erste-nationale-risikoanalyse_2018-2019.html</w:t>
        </w:r>
      </w:hyperlink>
    </w:p>
    <w:p w14:paraId="721ADA1E" w14:textId="77777777" w:rsidR="00E437B1" w:rsidRPr="005914CF" w:rsidRDefault="00E437B1" w:rsidP="00E541CA">
      <w:pPr>
        <w:pStyle w:val="Funotentext"/>
        <w:jc w:val="both"/>
      </w:pPr>
    </w:p>
  </w:footnote>
  <w:footnote w:id="10">
    <w:p w14:paraId="02A10CFB" w14:textId="666A2C47" w:rsidR="00E437B1" w:rsidRDefault="00E437B1" w:rsidP="00192515">
      <w:pPr>
        <w:pStyle w:val="Funotentext"/>
        <w:jc w:val="both"/>
      </w:pPr>
      <w:r>
        <w:rPr>
          <w:rStyle w:val="Funotenzeichen"/>
        </w:rPr>
        <w:footnoteRef/>
      </w:r>
      <w:r>
        <w:t xml:space="preserve"> </w:t>
      </w:r>
      <w:hyperlink r:id="rId9" w:history="1">
        <w:r w:rsidRPr="00426FD4">
          <w:rPr>
            <w:rStyle w:val="Hyperlink"/>
          </w:rPr>
          <w:t>https://eur-lex.europa.eu/legal-content/DE/TXT/PDF/?uri=CELEX:52017DC0340</w:t>
        </w:r>
      </w:hyperlink>
    </w:p>
  </w:footnote>
  <w:footnote w:id="11">
    <w:p w14:paraId="560DC562" w14:textId="6BCF5BB7" w:rsidR="00E437B1" w:rsidRPr="005914CF" w:rsidRDefault="00E437B1" w:rsidP="00CA1772">
      <w:pPr>
        <w:pStyle w:val="Funotentext"/>
        <w:jc w:val="both"/>
      </w:pPr>
      <w:r w:rsidRPr="005914CF">
        <w:rPr>
          <w:rStyle w:val="Funotenzeichen"/>
        </w:rPr>
        <w:footnoteRef/>
      </w:r>
      <w:r w:rsidRPr="005914CF">
        <w:t xml:space="preserve"> </w:t>
      </w:r>
      <w:hyperlink r:id="rId10" w:history="1">
        <w:r w:rsidRPr="00B21A1D">
          <w:rPr>
            <w:rStyle w:val="Hyperlink"/>
          </w:rPr>
          <w:t>https://eur-lex.europa.eu/legal-content/DE/TXT/PDF/?uri=CELEX:52019DC0370&amp;from=EN</w:t>
        </w:r>
      </w:hyperlink>
    </w:p>
  </w:footnote>
  <w:footnote w:id="12">
    <w:p w14:paraId="1F661470" w14:textId="4A7D0838" w:rsidR="00E437B1" w:rsidRDefault="00E437B1" w:rsidP="00192515">
      <w:pPr>
        <w:pStyle w:val="Funotentext"/>
        <w:jc w:val="both"/>
      </w:pPr>
      <w:r>
        <w:rPr>
          <w:rStyle w:val="Funotenzeichen"/>
        </w:rPr>
        <w:footnoteRef/>
      </w:r>
      <w:r>
        <w:t xml:space="preserve"> </w:t>
      </w:r>
      <w:hyperlink r:id="rId11" w:history="1">
        <w:r w:rsidRPr="00B21A1D">
          <w:rPr>
            <w:rStyle w:val="Hyperlink"/>
          </w:rPr>
          <w:t>https://eur-lex.europa.eu/legal-content/DE/TXT/PDF/?uri=CELEX:52022DC0554&amp;from=EN</w:t>
        </w:r>
      </w:hyperlink>
    </w:p>
  </w:footnote>
  <w:footnote w:id="13">
    <w:p w14:paraId="150A91E1" w14:textId="46B2ADAF" w:rsidR="00E437B1" w:rsidRPr="005914CF" w:rsidRDefault="00E437B1" w:rsidP="00192515">
      <w:pPr>
        <w:pStyle w:val="Funotentext"/>
        <w:jc w:val="both"/>
      </w:pPr>
      <w:r w:rsidRPr="005914CF">
        <w:rPr>
          <w:rStyle w:val="Funotenzeichen"/>
        </w:rPr>
        <w:footnoteRef/>
      </w:r>
      <w:hyperlink r:id="rId12" w:history="1">
        <w:r w:rsidR="000A0CAE" w:rsidRPr="00D074FC">
          <w:rPr>
            <w:rStyle w:val="Hyperlink"/>
          </w:rPr>
          <w:t>https://www.fatf-gafi.org/publications/fatfrecommendations/?hf=10&amp;b=0&amp;s=desc(fatf_releasedate)#:~:text=The%20FATF%20Recommendations%20are%20the,use%20of%20their%20financial%20system</w:t>
        </w:r>
      </w:hyperlink>
    </w:p>
  </w:footnote>
  <w:footnote w:id="14">
    <w:p w14:paraId="1B39BA06" w14:textId="2AC6CA51" w:rsidR="00E437B1" w:rsidRPr="00BD42C7" w:rsidRDefault="00E437B1" w:rsidP="00192515">
      <w:pPr>
        <w:pStyle w:val="Funotentext"/>
        <w:jc w:val="both"/>
      </w:pPr>
      <w:r w:rsidRPr="005914CF">
        <w:rPr>
          <w:rStyle w:val="Funotenzeichen"/>
        </w:rPr>
        <w:footnoteRef/>
      </w:r>
      <w:r w:rsidRPr="005914CF">
        <w:t xml:space="preserve"> </w:t>
      </w:r>
      <w:hyperlink r:id="rId13" w:history="1">
        <w:r w:rsidRPr="00B21A1D">
          <w:rPr>
            <w:rStyle w:val="Hyperlink"/>
          </w:rPr>
          <w:t>https://www.fatf-gafi.org/publications/mutualevaluations/documents/mer-germany-2022.html</w:t>
        </w:r>
      </w:hyperlink>
    </w:p>
  </w:footnote>
  <w:footnote w:id="15">
    <w:p w14:paraId="535FB42F" w14:textId="7B3FFF14" w:rsidR="00E437B1" w:rsidRPr="005914CF" w:rsidRDefault="00E437B1" w:rsidP="00192515">
      <w:pPr>
        <w:pStyle w:val="Funotentext"/>
        <w:jc w:val="both"/>
      </w:pPr>
      <w:r w:rsidRPr="005914CF">
        <w:rPr>
          <w:rStyle w:val="Funotenzeichen"/>
        </w:rPr>
        <w:footnoteRef/>
      </w:r>
      <w:r w:rsidRPr="005914CF">
        <w:t xml:space="preserve"> </w:t>
      </w:r>
      <w:hyperlink r:id="rId14" w:history="1">
        <w:r w:rsidRPr="00B21A1D">
          <w:rPr>
            <w:rStyle w:val="Hyperlink"/>
          </w:rPr>
          <w:t>https://www.fatf-gafi.org/en/publications/Fatfrecommendations/Rba-legal-professionals.html</w:t>
        </w:r>
      </w:hyperlink>
    </w:p>
  </w:footnote>
  <w:footnote w:id="16">
    <w:p w14:paraId="586421D3" w14:textId="4656EFA0" w:rsidR="00E437B1" w:rsidRDefault="00E437B1" w:rsidP="00192515">
      <w:pPr>
        <w:pStyle w:val="Funotentext"/>
        <w:jc w:val="both"/>
      </w:pPr>
      <w:r w:rsidRPr="005914CF">
        <w:rPr>
          <w:rStyle w:val="Funotenzeichen"/>
        </w:rPr>
        <w:footnoteRef/>
      </w:r>
      <w:r w:rsidRPr="005914CF">
        <w:t xml:space="preserve"> </w:t>
      </w:r>
      <w:hyperlink r:id="rId15" w:history="1">
        <w:r w:rsidRPr="00B21A1D">
          <w:rPr>
            <w:rStyle w:val="Hyperlink"/>
          </w:rPr>
          <w:t>https://www.zoll.de/DE/FIU/Fachliche-Informationen/Jahresberichte/jahresberichte_node.html</w:t>
        </w:r>
      </w:hyperlink>
      <w:r w:rsidRPr="005914CF">
        <w:t>)</w:t>
      </w:r>
    </w:p>
    <w:p w14:paraId="4B9C5C69" w14:textId="77777777" w:rsidR="00E437B1" w:rsidRDefault="00E437B1">
      <w:pPr>
        <w:pStyle w:val="Funoten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327F5" w14:textId="6F58FF76" w:rsidR="00E437B1" w:rsidRDefault="00192515">
    <w:pPr>
      <w:pStyle w:val="Kopfzeile"/>
    </w:pPr>
    <w:r>
      <w:rPr>
        <w:noProof/>
      </w:rPr>
      <w:pict w14:anchorId="07D0C6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0776" o:spid="_x0000_s2050" type="#_x0000_t136" style="position:absolute;margin-left:0;margin-top:0;width:519.6pt;height:129.9pt;rotation:315;z-index:-251655168;mso-position-horizontal:center;mso-position-horizontal-relative:margin;mso-position-vertical:center;mso-position-vertical-relative:margin" o:allowincell="f" fillcolor="silver" stroked="f">
          <v:fill opacity=".5"/>
          <v:textpath style="font-family:&quot;Times New Roman&quot;;font-size:1pt" string="BEISPIE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65D222" w14:textId="5A2B893E" w:rsidR="00E437B1" w:rsidRDefault="00192515">
    <w:pPr>
      <w:pStyle w:val="Kopfzeile"/>
    </w:pPr>
    <w:r>
      <w:rPr>
        <w:noProof/>
      </w:rPr>
      <w:pict w14:anchorId="5AE9E6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0777" o:spid="_x0000_s2051" type="#_x0000_t136" style="position:absolute;margin-left:0;margin-top:0;width:519.6pt;height:129.9pt;rotation:315;z-index:-251653120;mso-position-horizontal:center;mso-position-horizontal-relative:margin;mso-position-vertical:center;mso-position-vertical-relative:margin" o:allowincell="f" fillcolor="silver" stroked="f">
          <v:fill opacity=".5"/>
          <v:textpath style="font-family:&quot;Times New Roman&quot;;font-size:1pt" string="BEISPIEL"/>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6FD4CC" w14:textId="2BAD636D" w:rsidR="00E437B1" w:rsidRDefault="00192515">
    <w:pPr>
      <w:pStyle w:val="Kopfzeile"/>
    </w:pPr>
    <w:r>
      <w:rPr>
        <w:noProof/>
      </w:rPr>
      <w:pict w14:anchorId="698EF0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0775" o:spid="_x0000_s2049" type="#_x0000_t136" style="position:absolute;margin-left:0;margin-top:0;width:519.6pt;height:129.9pt;rotation:315;z-index:-251657216;mso-position-horizontal:center;mso-position-horizontal-relative:margin;mso-position-vertical:center;mso-position-vertical-relative:margin" o:allowincell="f" fillcolor="silver" stroked="f">
          <v:fill opacity=".5"/>
          <v:textpath style="font-family:&quot;Times New Roman&quot;;font-size:1pt" string="BEISPIE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81A209E"/>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DB561C2E"/>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7EECB0D2"/>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037E47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53544BE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4B0BD1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AC012A"/>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4A48CA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E0815E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E6C48E2A"/>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10B26E3"/>
    <w:multiLevelType w:val="hybridMultilevel"/>
    <w:tmpl w:val="3080FBEE"/>
    <w:lvl w:ilvl="0" w:tplc="04070005">
      <w:start w:val="1"/>
      <w:numFmt w:val="bullet"/>
      <w:lvlText w:val=""/>
      <w:lvlJc w:val="left"/>
      <w:pPr>
        <w:ind w:left="1287" w:hanging="360"/>
      </w:pPr>
      <w:rPr>
        <w:rFonts w:ascii="Wingdings" w:hAnsi="Wingdings"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11" w15:restartNumberingAfterBreak="0">
    <w:nsid w:val="0235506D"/>
    <w:multiLevelType w:val="multilevel"/>
    <w:tmpl w:val="EFF06EFA"/>
    <w:styleLink w:val="CMS-Heading"/>
    <w:lvl w:ilvl="0">
      <w:start w:val="1"/>
      <w:numFmt w:val="upperLetter"/>
      <w:pStyle w:val="CMSHeading1"/>
      <w:lvlText w:val="%1."/>
      <w:lvlJc w:val="left"/>
      <w:pPr>
        <w:tabs>
          <w:tab w:val="num" w:pos="567"/>
        </w:tabs>
        <w:ind w:left="567" w:hanging="567"/>
      </w:pPr>
      <w:rPr>
        <w:rFonts w:hint="default"/>
      </w:rPr>
    </w:lvl>
    <w:lvl w:ilvl="1">
      <w:start w:val="1"/>
      <w:numFmt w:val="upperRoman"/>
      <w:pStyle w:val="CMSHeading2"/>
      <w:lvlText w:val="%2."/>
      <w:lvlJc w:val="left"/>
      <w:pPr>
        <w:tabs>
          <w:tab w:val="num" w:pos="567"/>
        </w:tabs>
        <w:ind w:left="567" w:hanging="567"/>
      </w:pPr>
      <w:rPr>
        <w:rFonts w:hint="default"/>
      </w:rPr>
    </w:lvl>
    <w:lvl w:ilvl="2">
      <w:start w:val="1"/>
      <w:numFmt w:val="decimal"/>
      <w:pStyle w:val="CMSHeading3"/>
      <w:lvlText w:val="%3."/>
      <w:lvlJc w:val="left"/>
      <w:pPr>
        <w:tabs>
          <w:tab w:val="num" w:pos="567"/>
        </w:tabs>
        <w:ind w:left="567" w:hanging="567"/>
      </w:pPr>
      <w:rPr>
        <w:rFonts w:hint="default"/>
      </w:rPr>
    </w:lvl>
    <w:lvl w:ilvl="3">
      <w:start w:val="1"/>
      <w:numFmt w:val="lowerLetter"/>
      <w:pStyle w:val="CMSHeading4"/>
      <w:lvlText w:val="%4)"/>
      <w:lvlJc w:val="left"/>
      <w:pPr>
        <w:tabs>
          <w:tab w:val="num" w:pos="1134"/>
        </w:tabs>
        <w:ind w:left="1134" w:hanging="567"/>
      </w:pPr>
      <w:rPr>
        <w:rFonts w:hint="default"/>
      </w:rPr>
    </w:lvl>
    <w:lvl w:ilvl="4">
      <w:start w:val="27"/>
      <w:numFmt w:val="lowerLetter"/>
      <w:pStyle w:val="CMSHeading5"/>
      <w:lvlText w:val="%5)"/>
      <w:lvlJc w:val="left"/>
      <w:pPr>
        <w:tabs>
          <w:tab w:val="num" w:pos="1701"/>
        </w:tabs>
        <w:ind w:left="1701" w:hanging="567"/>
      </w:pPr>
      <w:rPr>
        <w:rFonts w:hint="default"/>
      </w:rPr>
    </w:lvl>
    <w:lvl w:ilvl="5">
      <w:start w:val="1"/>
      <w:numFmt w:val="lowerRoman"/>
      <w:pStyle w:val="CMSHeading6"/>
      <w:lvlText w:val="(%6)"/>
      <w:lvlJc w:val="left"/>
      <w:pPr>
        <w:tabs>
          <w:tab w:val="num" w:pos="2268"/>
        </w:tabs>
        <w:ind w:left="2268" w:hanging="567"/>
      </w:pPr>
      <w:rPr>
        <w:rFonts w:hint="default"/>
      </w:rPr>
    </w:lvl>
    <w:lvl w:ilvl="6">
      <w:start w:val="1"/>
      <w:numFmt w:val="decimal"/>
      <w:pStyle w:val="CMSHeading7"/>
      <w:lvlText w:val="(%7)"/>
      <w:lvlJc w:val="left"/>
      <w:pPr>
        <w:tabs>
          <w:tab w:val="num" w:pos="2835"/>
        </w:tabs>
        <w:ind w:left="2835" w:hanging="567"/>
      </w:pPr>
      <w:rPr>
        <w:rFonts w:hint="default"/>
      </w:rPr>
    </w:lvl>
    <w:lvl w:ilvl="7">
      <w:start w:val="1"/>
      <w:numFmt w:val="none"/>
      <w:pStyle w:val="CMSHeading8"/>
      <w:suff w:val="nothing"/>
      <w:lvlText w:val=""/>
      <w:lvlJc w:val="left"/>
      <w:pPr>
        <w:ind w:left="0" w:firstLine="0"/>
      </w:pPr>
      <w:rPr>
        <w:rFonts w:hint="default"/>
      </w:rPr>
    </w:lvl>
    <w:lvl w:ilvl="8">
      <w:start w:val="1"/>
      <w:numFmt w:val="none"/>
      <w:pStyle w:val="CMSHeading9"/>
      <w:suff w:val="nothing"/>
      <w:lvlText w:val=""/>
      <w:lvlJc w:val="left"/>
      <w:pPr>
        <w:ind w:left="0" w:firstLine="0"/>
      </w:pPr>
      <w:rPr>
        <w:rFonts w:hint="default"/>
      </w:rPr>
    </w:lvl>
  </w:abstractNum>
  <w:abstractNum w:abstractNumId="12" w15:restartNumberingAfterBreak="0">
    <w:nsid w:val="050D76AD"/>
    <w:multiLevelType w:val="hybridMultilevel"/>
    <w:tmpl w:val="82AC9F70"/>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6702F2C"/>
    <w:multiLevelType w:val="multilevel"/>
    <w:tmpl w:val="206420EE"/>
    <w:styleLink w:val="CMS-Evidence"/>
    <w:lvl w:ilvl="0">
      <w:start w:val="1"/>
      <w:numFmt w:val="none"/>
      <w:pStyle w:val="CMSEvidence1"/>
      <w:lvlText w:val="Beweis:"/>
      <w:lvlJc w:val="left"/>
      <w:pPr>
        <w:ind w:left="2268" w:hanging="1134"/>
      </w:pPr>
      <w:rPr>
        <w:rFonts w:asciiTheme="minorHAnsi" w:hAnsiTheme="minorHAnsi" w:cs="Times New Roman" w:hint="default"/>
        <w:b w:val="0"/>
        <w:i w:val="0"/>
        <w:u w:val="single"/>
      </w:rPr>
    </w:lvl>
    <w:lvl w:ilvl="1">
      <w:start w:val="1"/>
      <w:numFmt w:val="none"/>
      <w:lvlRestart w:val="0"/>
      <w:suff w:val="nothing"/>
      <w:lvlText w:val=""/>
      <w:lvlJc w:val="left"/>
      <w:pPr>
        <w:ind w:left="0"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4" w15:restartNumberingAfterBreak="0">
    <w:nsid w:val="0ACE28A2"/>
    <w:multiLevelType w:val="multilevel"/>
    <w:tmpl w:val="29F64FC4"/>
    <w:styleLink w:val="CMS-InternerHinweis"/>
    <w:lvl w:ilvl="0">
      <w:start w:val="1"/>
      <w:numFmt w:val="none"/>
      <w:pStyle w:val="CMSInternerHinweis"/>
      <w:lvlText w:val="Interner Hinweis:"/>
      <w:lvlJc w:val="left"/>
      <w:pPr>
        <w:ind w:left="2552" w:hanging="2552"/>
      </w:pPr>
      <w:rPr>
        <w:rFonts w:hint="default"/>
        <w:caps/>
        <w:color w:val="FF0000"/>
      </w:rPr>
    </w:lvl>
    <w:lvl w:ilvl="1">
      <w:start w:val="1"/>
      <w:numFmt w:val="none"/>
      <w:lvlRestart w:val="0"/>
      <w:suff w:val="nothing"/>
      <w:lvlText w:val="%2"/>
      <w:lvlJc w:val="left"/>
      <w:pPr>
        <w:ind w:left="0" w:firstLine="0"/>
      </w:pPr>
      <w:rPr>
        <w:rFonts w:hint="default"/>
      </w:rPr>
    </w:lvl>
    <w:lvl w:ilvl="2">
      <w:start w:val="1"/>
      <w:numFmt w:val="none"/>
      <w:lvlRestart w:val="0"/>
      <w:suff w:val="nothing"/>
      <w:lvlText w:val="%3"/>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abstractNum w:abstractNumId="15" w15:restartNumberingAfterBreak="0">
    <w:nsid w:val="16211CC8"/>
    <w:multiLevelType w:val="multilevel"/>
    <w:tmpl w:val="54A46B2C"/>
    <w:styleLink w:val="CMS-Note"/>
    <w:lvl w:ilvl="0">
      <w:start w:val="1"/>
      <w:numFmt w:val="none"/>
      <w:pStyle w:val="CMSNote"/>
      <w:lvlText w:val="Note CMS:"/>
      <w:lvlJc w:val="left"/>
      <w:pPr>
        <w:ind w:left="1701" w:hanging="1701"/>
      </w:pPr>
      <w:rPr>
        <w:rFonts w:hint="default"/>
        <w:u w:val="none"/>
      </w:rPr>
    </w:lvl>
    <w:lvl w:ilvl="1">
      <w:start w:val="1"/>
      <w:numFmt w:val="none"/>
      <w:lvlRestart w:val="0"/>
      <w:suff w:val="nothing"/>
      <w:lvlText w:val=""/>
      <w:lvlJc w:val="left"/>
      <w:pPr>
        <w:ind w:left="0"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6" w15:restartNumberingAfterBreak="0">
    <w:nsid w:val="1AA44542"/>
    <w:multiLevelType w:val="hybridMultilevel"/>
    <w:tmpl w:val="5402243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1AAA1EAB"/>
    <w:multiLevelType w:val="hybridMultilevel"/>
    <w:tmpl w:val="75A0DDB4"/>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18" w15:restartNumberingAfterBreak="0">
    <w:nsid w:val="1C8B343C"/>
    <w:multiLevelType w:val="multilevel"/>
    <w:tmpl w:val="A4DC2CBC"/>
    <w:styleLink w:val="CMS-Bulletpoints"/>
    <w:lvl w:ilvl="0">
      <w:start w:val="1"/>
      <w:numFmt w:val="bullet"/>
      <w:pStyle w:val="CMSBulletpoint"/>
      <w:lvlText w:val=""/>
      <w:lvlJc w:val="left"/>
      <w:pPr>
        <w:ind w:left="1134" w:hanging="567"/>
      </w:pPr>
      <w:rPr>
        <w:rFonts w:ascii="Symbol" w:hAnsi="Symbol" w:hint="default"/>
        <w:color w:val="auto"/>
      </w:rPr>
    </w:lvl>
    <w:lvl w:ilvl="1">
      <w:start w:val="1"/>
      <w:numFmt w:val="bullet"/>
      <w:lvlText w:val=""/>
      <w:lvlJc w:val="left"/>
      <w:pPr>
        <w:ind w:left="1134" w:hanging="567"/>
      </w:pPr>
      <w:rPr>
        <w:rFonts w:ascii="Symbol" w:hAnsi="Symbol" w:hint="default"/>
        <w:color w:val="auto"/>
      </w:rPr>
    </w:lvl>
    <w:lvl w:ilvl="2">
      <w:start w:val="1"/>
      <w:numFmt w:val="bullet"/>
      <w:lvlText w:val=""/>
      <w:lvlJc w:val="left"/>
      <w:pPr>
        <w:ind w:left="1701" w:hanging="567"/>
      </w:pPr>
      <w:rPr>
        <w:rFonts w:ascii="Symbol" w:hAnsi="Symbol" w:hint="default"/>
        <w:color w:val="auto"/>
      </w:rPr>
    </w:lvl>
    <w:lvl w:ilvl="3">
      <w:start w:val="1"/>
      <w:numFmt w:val="bullet"/>
      <w:lvlText w:val=""/>
      <w:lvlJc w:val="left"/>
      <w:pPr>
        <w:ind w:left="2268" w:hanging="567"/>
      </w:pPr>
      <w:rPr>
        <w:rFonts w:ascii="Symbol" w:hAnsi="Symbol" w:hint="default"/>
        <w:color w:val="auto"/>
      </w:rPr>
    </w:lvl>
    <w:lvl w:ilvl="4">
      <w:start w:val="1"/>
      <w:numFmt w:val="bullet"/>
      <w:lvlText w:val=""/>
      <w:lvlJc w:val="left"/>
      <w:pPr>
        <w:ind w:left="2835" w:hanging="567"/>
      </w:pPr>
      <w:rPr>
        <w:rFonts w:ascii="Symbol" w:hAnsi="Symbol" w:hint="default"/>
        <w:color w:val="auto"/>
      </w:rPr>
    </w:lvl>
    <w:lvl w:ilvl="5">
      <w:start w:val="1"/>
      <w:numFmt w:val="bullet"/>
      <w:lvlText w:val=""/>
      <w:lvlJc w:val="left"/>
      <w:pPr>
        <w:ind w:left="3402" w:hanging="567"/>
      </w:pPr>
      <w:rPr>
        <w:rFonts w:ascii="Symbol" w:hAnsi="Symbol" w:hint="default"/>
        <w:color w:val="auto"/>
      </w:rPr>
    </w:lvl>
    <w:lvl w:ilvl="6">
      <w:start w:val="1"/>
      <w:numFmt w:val="bullet"/>
      <w:lvlText w:val=""/>
      <w:lvlJc w:val="left"/>
      <w:pPr>
        <w:ind w:left="3969" w:hanging="567"/>
      </w:pPr>
      <w:rPr>
        <w:rFonts w:ascii="Symbol" w:hAnsi="Symbol" w:hint="default"/>
        <w:color w:val="auto"/>
      </w:rPr>
    </w:lvl>
    <w:lvl w:ilvl="7">
      <w:start w:val="1"/>
      <w:numFmt w:val="bullet"/>
      <w:lvlText w:val=""/>
      <w:lvlJc w:val="left"/>
      <w:pPr>
        <w:ind w:left="4536" w:hanging="567"/>
      </w:pPr>
      <w:rPr>
        <w:rFonts w:ascii="Symbol" w:hAnsi="Symbol" w:hint="default"/>
        <w:color w:val="auto"/>
      </w:rPr>
    </w:lvl>
    <w:lvl w:ilvl="8">
      <w:start w:val="1"/>
      <w:numFmt w:val="bullet"/>
      <w:lvlText w:val=""/>
      <w:lvlJc w:val="left"/>
      <w:pPr>
        <w:ind w:left="5103" w:hanging="567"/>
      </w:pPr>
      <w:rPr>
        <w:rFonts w:ascii="Symbol" w:hAnsi="Symbol" w:hint="default"/>
        <w:color w:val="auto"/>
      </w:rPr>
    </w:lvl>
  </w:abstractNum>
  <w:abstractNum w:abstractNumId="19" w15:restartNumberingAfterBreak="0">
    <w:nsid w:val="1DA902F1"/>
    <w:multiLevelType w:val="multilevel"/>
    <w:tmpl w:val="589A95C0"/>
    <w:styleLink w:val="CMS-EnumeratedEvidence"/>
    <w:lvl w:ilvl="0">
      <w:start w:val="1"/>
      <w:numFmt w:val="none"/>
      <w:pStyle w:val="CMSEnumeratedEvidence1"/>
      <w:lvlText w:val="Beweis:"/>
      <w:lvlJc w:val="left"/>
      <w:pPr>
        <w:tabs>
          <w:tab w:val="num" w:pos="2268"/>
        </w:tabs>
        <w:ind w:left="2835" w:hanging="1701"/>
      </w:pPr>
      <w:rPr>
        <w:rFonts w:asciiTheme="minorHAnsi" w:hAnsiTheme="minorHAnsi" w:hint="default"/>
        <w:b w:val="0"/>
        <w:i w:val="0"/>
        <w:u w:val="single"/>
      </w:rPr>
    </w:lvl>
    <w:lvl w:ilvl="1">
      <w:start w:val="1"/>
      <w:numFmt w:val="none"/>
      <w:lvlRestart w:val="0"/>
      <w:suff w:val="nothing"/>
      <w:lvlText w:val=""/>
      <w:lvlJc w:val="left"/>
      <w:pPr>
        <w:ind w:left="0"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0" w15:restartNumberingAfterBreak="0">
    <w:nsid w:val="20A222BC"/>
    <w:multiLevelType w:val="multilevel"/>
    <w:tmpl w:val="7012D1D2"/>
    <w:styleLink w:val="CMS-PrimaFacieEnumeratedEvidence"/>
    <w:lvl w:ilvl="0">
      <w:start w:val="1"/>
      <w:numFmt w:val="none"/>
      <w:pStyle w:val="CMSPrimaFacieEnumeratedEvidence1"/>
      <w:lvlText w:val="%1Glaubhaftmachung:"/>
      <w:lvlJc w:val="left"/>
      <w:pPr>
        <w:tabs>
          <w:tab w:val="num" w:pos="2835"/>
        </w:tabs>
        <w:ind w:left="3402" w:hanging="2835"/>
      </w:pPr>
      <w:rPr>
        <w:rFonts w:asciiTheme="minorHAnsi" w:hAnsiTheme="minorHAnsi" w:hint="default"/>
        <w:u w:val="words"/>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1" w15:restartNumberingAfterBreak="0">
    <w:nsid w:val="231227DE"/>
    <w:multiLevelType w:val="multilevel"/>
    <w:tmpl w:val="25E2BA40"/>
    <w:styleLink w:val="CMS-Definitions"/>
    <w:lvl w:ilvl="0">
      <w:start w:val="1"/>
      <w:numFmt w:val="none"/>
      <w:pStyle w:val="CMSDefinitions1"/>
      <w:suff w:val="nothing"/>
      <w:lvlText w:val=""/>
      <w:lvlJc w:val="left"/>
      <w:pPr>
        <w:ind w:left="567" w:firstLine="0"/>
      </w:pPr>
      <w:rPr>
        <w:rFonts w:hint="default"/>
      </w:rPr>
    </w:lvl>
    <w:lvl w:ilvl="1">
      <w:start w:val="1"/>
      <w:numFmt w:val="lowerLetter"/>
      <w:pStyle w:val="CMSDefinitions2"/>
      <w:lvlText w:val="%1(%2)"/>
      <w:lvlJc w:val="left"/>
      <w:pPr>
        <w:tabs>
          <w:tab w:val="num" w:pos="1134"/>
        </w:tabs>
        <w:ind w:left="1134" w:hanging="567"/>
      </w:pPr>
      <w:rPr>
        <w:rFonts w:hint="default"/>
      </w:rPr>
    </w:lvl>
    <w:lvl w:ilvl="2">
      <w:start w:val="1"/>
      <w:numFmt w:val="lowerRoman"/>
      <w:pStyle w:val="CMSDefinitions3"/>
      <w:lvlText w:val="(%3)"/>
      <w:lvlJc w:val="left"/>
      <w:pPr>
        <w:tabs>
          <w:tab w:val="num" w:pos="1701"/>
        </w:tabs>
        <w:ind w:left="1701" w:hanging="567"/>
      </w:pPr>
      <w:rPr>
        <w:rFonts w:hint="default"/>
      </w:rPr>
    </w:lvl>
    <w:lvl w:ilvl="3">
      <w:start w:val="1"/>
      <w:numFmt w:val="none"/>
      <w:lvlRestart w:val="0"/>
      <w:suff w:val="nothing"/>
      <w:lvlText w:val=""/>
      <w:lvlJc w:val="left"/>
      <w:pPr>
        <w:ind w:left="0" w:firstLine="0"/>
      </w:pPr>
      <w:rPr>
        <w:rFonts w:hint="default"/>
      </w:rPr>
    </w:lvl>
    <w:lvl w:ilvl="4">
      <w:start w:val="27"/>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2" w15:restartNumberingAfterBreak="0">
    <w:nsid w:val="2AF47B33"/>
    <w:multiLevelType w:val="multilevel"/>
    <w:tmpl w:val="5F5002A2"/>
    <w:styleLink w:val="CMS-Schedule"/>
    <w:lvl w:ilvl="0">
      <w:start w:val="1"/>
      <w:numFmt w:val="decimal"/>
      <w:pStyle w:val="CMSSchedule1"/>
      <w:suff w:val="nothing"/>
      <w:lvlText w:val="Anlage %1"/>
      <w:lvlJc w:val="left"/>
      <w:pPr>
        <w:ind w:left="0" w:firstLine="0"/>
      </w:pPr>
      <w:rPr>
        <w:rFonts w:hint="default"/>
      </w:rPr>
    </w:lvl>
    <w:lvl w:ilvl="1">
      <w:start w:val="1"/>
      <w:numFmt w:val="upperRoman"/>
      <w:pStyle w:val="CMSSchedule2"/>
      <w:suff w:val="nothing"/>
      <w:lvlText w:val="Teil %2"/>
      <w:lvlJc w:val="left"/>
      <w:pPr>
        <w:ind w:left="0" w:firstLine="0"/>
      </w:pPr>
      <w:rPr>
        <w:rFonts w:hint="default"/>
      </w:rPr>
    </w:lvl>
    <w:lvl w:ilvl="2">
      <w:start w:val="1"/>
      <w:numFmt w:val="upperLetter"/>
      <w:pStyle w:val="CMSSchedule3"/>
      <w:suff w:val="nothing"/>
      <w:lvlText w:val="Teil %2 %3"/>
      <w:lvlJc w:val="left"/>
      <w:pPr>
        <w:ind w:left="0" w:firstLine="0"/>
      </w:pPr>
      <w:rPr>
        <w:rFonts w:hint="default"/>
      </w:rPr>
    </w:lvl>
    <w:lvl w:ilvl="3">
      <w:start w:val="1"/>
      <w:numFmt w:val="none"/>
      <w:lvlRestart w:val="0"/>
      <w:pStyle w:val="CMSSchedule4"/>
      <w:lvlText w:val="%4"/>
      <w:lvlJc w:val="left"/>
      <w:pPr>
        <w:tabs>
          <w:tab w:val="num" w:pos="567"/>
        </w:tabs>
        <w:ind w:left="567" w:hanging="567"/>
      </w:pPr>
      <w:rPr>
        <w:rFonts w:hint="default"/>
      </w:rPr>
    </w:lvl>
    <w:lvl w:ilvl="4">
      <w:start w:val="1"/>
      <w:numFmt w:val="upperLetter"/>
      <w:pStyle w:val="CMSSchedule5"/>
      <w:lvlText w:val="%5."/>
      <w:lvlJc w:val="left"/>
      <w:pPr>
        <w:tabs>
          <w:tab w:val="num" w:pos="567"/>
        </w:tabs>
        <w:ind w:left="567" w:hanging="567"/>
      </w:pPr>
      <w:rPr>
        <w:rFonts w:hint="default"/>
      </w:rPr>
    </w:lvl>
    <w:lvl w:ilvl="5">
      <w:start w:val="1"/>
      <w:numFmt w:val="upperRoman"/>
      <w:pStyle w:val="CMSSchedule6"/>
      <w:lvlText w:val="%6."/>
      <w:lvlJc w:val="left"/>
      <w:pPr>
        <w:tabs>
          <w:tab w:val="num" w:pos="1134"/>
        </w:tabs>
        <w:ind w:left="567" w:hanging="567"/>
      </w:pPr>
      <w:rPr>
        <w:rFonts w:hint="default"/>
      </w:rPr>
    </w:lvl>
    <w:lvl w:ilvl="6">
      <w:start w:val="1"/>
      <w:numFmt w:val="decimal"/>
      <w:pStyle w:val="CMSSchedule7"/>
      <w:lvlText w:val="%7."/>
      <w:lvlJc w:val="left"/>
      <w:pPr>
        <w:tabs>
          <w:tab w:val="num" w:pos="1134"/>
        </w:tabs>
        <w:ind w:left="567" w:hanging="567"/>
      </w:pPr>
      <w:rPr>
        <w:rFonts w:hint="default"/>
      </w:rPr>
    </w:lvl>
    <w:lvl w:ilvl="7">
      <w:start w:val="1"/>
      <w:numFmt w:val="lowerLetter"/>
      <w:pStyle w:val="CMSSchedule8"/>
      <w:lvlText w:val="%8)"/>
      <w:lvlJc w:val="left"/>
      <w:pPr>
        <w:tabs>
          <w:tab w:val="num" w:pos="2268"/>
        </w:tabs>
        <w:ind w:left="1134" w:hanging="567"/>
      </w:pPr>
      <w:rPr>
        <w:rFonts w:hint="default"/>
      </w:rPr>
    </w:lvl>
    <w:lvl w:ilvl="8">
      <w:start w:val="1"/>
      <w:numFmt w:val="none"/>
      <w:lvlRestart w:val="0"/>
      <w:pStyle w:val="CMSSchedule9"/>
      <w:suff w:val="nothing"/>
      <w:lvlText w:val=""/>
      <w:lvlJc w:val="left"/>
      <w:pPr>
        <w:ind w:left="0" w:firstLine="0"/>
      </w:pPr>
      <w:rPr>
        <w:rFonts w:hint="default"/>
      </w:rPr>
    </w:lvl>
  </w:abstractNum>
  <w:abstractNum w:abstractNumId="23" w15:restartNumberingAfterBreak="0">
    <w:nsid w:val="2BBF7186"/>
    <w:multiLevelType w:val="hybridMultilevel"/>
    <w:tmpl w:val="080E7404"/>
    <w:lvl w:ilvl="0" w:tplc="04070001">
      <w:start w:val="1"/>
      <w:numFmt w:val="bullet"/>
      <w:lvlText w:val=""/>
      <w:lvlJc w:val="left"/>
      <w:pPr>
        <w:ind w:left="927" w:hanging="360"/>
      </w:pPr>
      <w:rPr>
        <w:rFonts w:ascii="Symbol" w:hAnsi="Symbo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24" w15:restartNumberingAfterBreak="0">
    <w:nsid w:val="2BEF22E0"/>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2D4152C4"/>
    <w:multiLevelType w:val="multilevel"/>
    <w:tmpl w:val="6B5E7B22"/>
    <w:styleLink w:val="CMS-ToDo"/>
    <w:lvl w:ilvl="0">
      <w:start w:val="1"/>
      <w:numFmt w:val="bullet"/>
      <w:pStyle w:val="CMSToDo"/>
      <w:lvlText w:val=""/>
      <w:lvlJc w:val="left"/>
      <w:pPr>
        <w:ind w:left="1134" w:hanging="567"/>
      </w:pPr>
      <w:rPr>
        <w:rFonts w:ascii="Wingdings" w:hAnsi="Wingdings" w:hint="default"/>
      </w:rPr>
    </w:lvl>
    <w:lvl w:ilvl="1">
      <w:start w:val="1"/>
      <w:numFmt w:val="none"/>
      <w:lvlRestart w:val="0"/>
      <w:suff w:val="nothing"/>
      <w:lvlText w:val=""/>
      <w:lvlJc w:val="left"/>
      <w:pPr>
        <w:ind w:left="0"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6" w15:restartNumberingAfterBreak="0">
    <w:nsid w:val="2E373DE9"/>
    <w:multiLevelType w:val="multilevel"/>
    <w:tmpl w:val="F2487CF4"/>
    <w:styleLink w:val="CMS-Anmerkung"/>
    <w:lvl w:ilvl="0">
      <w:start w:val="1"/>
      <w:numFmt w:val="none"/>
      <w:pStyle w:val="CMSAnmerkung"/>
      <w:lvlText w:val="Anmerkung CMS:"/>
      <w:lvlJc w:val="left"/>
      <w:pPr>
        <w:ind w:left="2268" w:hanging="2268"/>
      </w:pPr>
      <w:rPr>
        <w:rFonts w:hint="default"/>
        <w:u w:val="none"/>
      </w:rPr>
    </w:lvl>
    <w:lvl w:ilvl="1">
      <w:start w:val="1"/>
      <w:numFmt w:val="none"/>
      <w:lvlRestart w:val="0"/>
      <w:suff w:val="nothing"/>
      <w:lvlText w:val=""/>
      <w:lvlJc w:val="left"/>
      <w:pPr>
        <w:ind w:left="0"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7" w15:restartNumberingAfterBreak="0">
    <w:nsid w:val="2F9A55DB"/>
    <w:multiLevelType w:val="multilevel"/>
    <w:tmpl w:val="F118D71E"/>
    <w:styleLink w:val="CMS-Exhibit"/>
    <w:lvl w:ilvl="0">
      <w:start w:val="1"/>
      <w:numFmt w:val="none"/>
      <w:pStyle w:val="CMSExhibit1"/>
      <w:suff w:val="space"/>
      <w:lvlText w:val="Anhang"/>
      <w:lvlJc w:val="left"/>
      <w:pPr>
        <w:ind w:left="0" w:firstLine="0"/>
      </w:pPr>
      <w:rPr>
        <w:rFonts w:hint="default"/>
      </w:rPr>
    </w:lvl>
    <w:lvl w:ilvl="1">
      <w:start w:val="1"/>
      <w:numFmt w:val="upperRoman"/>
      <w:pStyle w:val="CMSExhibit2"/>
      <w:suff w:val="nothing"/>
      <w:lvlText w:val="Teil %2"/>
      <w:lvlJc w:val="left"/>
      <w:pPr>
        <w:ind w:left="0" w:firstLine="0"/>
      </w:pPr>
      <w:rPr>
        <w:rFonts w:hint="default"/>
      </w:rPr>
    </w:lvl>
    <w:lvl w:ilvl="2">
      <w:start w:val="1"/>
      <w:numFmt w:val="upperLetter"/>
      <w:pStyle w:val="CMSExhibit3"/>
      <w:suff w:val="nothing"/>
      <w:lvlText w:val="Teil %2 %3"/>
      <w:lvlJc w:val="left"/>
      <w:pPr>
        <w:ind w:left="0" w:firstLine="0"/>
      </w:pPr>
      <w:rPr>
        <w:rFonts w:hint="default"/>
      </w:rPr>
    </w:lvl>
    <w:lvl w:ilvl="3">
      <w:start w:val="1"/>
      <w:numFmt w:val="none"/>
      <w:lvlRestart w:val="0"/>
      <w:pStyle w:val="CMSExhibit4"/>
      <w:suff w:val="nothing"/>
      <w:lvlText w:val=""/>
      <w:lvlJc w:val="left"/>
      <w:pPr>
        <w:ind w:left="0" w:firstLine="0"/>
      </w:pPr>
      <w:rPr>
        <w:rFonts w:hint="default"/>
      </w:rPr>
    </w:lvl>
    <w:lvl w:ilvl="4">
      <w:start w:val="1"/>
      <w:numFmt w:val="upperLetter"/>
      <w:pStyle w:val="CMSExhibit5"/>
      <w:lvlText w:val="%5."/>
      <w:lvlJc w:val="left"/>
      <w:pPr>
        <w:tabs>
          <w:tab w:val="num" w:pos="567"/>
        </w:tabs>
        <w:ind w:left="567" w:hanging="567"/>
      </w:pPr>
      <w:rPr>
        <w:rFonts w:hint="default"/>
      </w:rPr>
    </w:lvl>
    <w:lvl w:ilvl="5">
      <w:start w:val="1"/>
      <w:numFmt w:val="upperRoman"/>
      <w:pStyle w:val="CMSExhibit6"/>
      <w:lvlText w:val="%6."/>
      <w:lvlJc w:val="left"/>
      <w:pPr>
        <w:tabs>
          <w:tab w:val="num" w:pos="1134"/>
        </w:tabs>
        <w:ind w:left="567" w:hanging="567"/>
      </w:pPr>
      <w:rPr>
        <w:rFonts w:hint="default"/>
      </w:rPr>
    </w:lvl>
    <w:lvl w:ilvl="6">
      <w:start w:val="1"/>
      <w:numFmt w:val="decimal"/>
      <w:lvlText w:val="%7."/>
      <w:lvlJc w:val="left"/>
      <w:pPr>
        <w:tabs>
          <w:tab w:val="num" w:pos="1701"/>
        </w:tabs>
        <w:ind w:left="567" w:hanging="567"/>
      </w:pPr>
      <w:rPr>
        <w:rFonts w:hint="default"/>
      </w:rPr>
    </w:lvl>
    <w:lvl w:ilvl="7">
      <w:start w:val="1"/>
      <w:numFmt w:val="lowerLetter"/>
      <w:pStyle w:val="CMSExhibit8"/>
      <w:lvlText w:val="%8)"/>
      <w:lvlJc w:val="left"/>
      <w:pPr>
        <w:tabs>
          <w:tab w:val="num" w:pos="2268"/>
        </w:tabs>
        <w:ind w:left="1134" w:hanging="567"/>
      </w:pPr>
      <w:rPr>
        <w:rFonts w:hint="default"/>
      </w:rPr>
    </w:lvl>
    <w:lvl w:ilvl="8">
      <w:start w:val="1"/>
      <w:numFmt w:val="none"/>
      <w:lvlRestart w:val="0"/>
      <w:pStyle w:val="CMSExhibit9"/>
      <w:suff w:val="nothing"/>
      <w:lvlText w:val="%9"/>
      <w:lvlJc w:val="left"/>
      <w:pPr>
        <w:ind w:left="0" w:firstLine="0"/>
      </w:pPr>
      <w:rPr>
        <w:rFonts w:hint="default"/>
      </w:rPr>
    </w:lvl>
  </w:abstractNum>
  <w:abstractNum w:abstractNumId="28" w15:restartNumberingAfterBreak="0">
    <w:nsid w:val="3088076E"/>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3663201D"/>
    <w:multiLevelType w:val="multilevel"/>
    <w:tmpl w:val="B7083AB8"/>
    <w:styleLink w:val="CMS-Nummeration"/>
    <w:lvl w:ilvl="0">
      <w:start w:val="1"/>
      <w:numFmt w:val="decimal"/>
      <w:pStyle w:val="CMSNummeration"/>
      <w:lvlText w:val="%1."/>
      <w:lvlJc w:val="left"/>
      <w:pPr>
        <w:ind w:left="1134" w:hanging="567"/>
      </w:pPr>
      <w:rPr>
        <w:rFonts w:hint="default"/>
      </w:rPr>
    </w:lvl>
    <w:lvl w:ilvl="1">
      <w:start w:val="1"/>
      <w:numFmt w:val="decimal"/>
      <w:lvlText w:val="%2."/>
      <w:lvlJc w:val="left"/>
      <w:pPr>
        <w:ind w:left="1134" w:hanging="567"/>
      </w:pPr>
      <w:rPr>
        <w:rFonts w:hint="default"/>
      </w:rPr>
    </w:lvl>
    <w:lvl w:ilvl="2">
      <w:start w:val="1"/>
      <w:numFmt w:val="decimal"/>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decimal"/>
      <w:lvlText w:val="%5."/>
      <w:lvlJc w:val="left"/>
      <w:pPr>
        <w:ind w:left="2835" w:hanging="567"/>
      </w:pPr>
      <w:rPr>
        <w:rFonts w:hint="default"/>
      </w:rPr>
    </w:lvl>
    <w:lvl w:ilvl="5">
      <w:start w:val="1"/>
      <w:numFmt w:val="decimal"/>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decimal"/>
      <w:lvlText w:val="%8."/>
      <w:lvlJc w:val="left"/>
      <w:pPr>
        <w:ind w:left="4536" w:hanging="567"/>
      </w:pPr>
      <w:rPr>
        <w:rFonts w:hint="default"/>
      </w:rPr>
    </w:lvl>
    <w:lvl w:ilvl="8">
      <w:start w:val="1"/>
      <w:numFmt w:val="decimal"/>
      <w:lvlText w:val="%9."/>
      <w:lvlJc w:val="left"/>
      <w:pPr>
        <w:ind w:left="5103" w:hanging="567"/>
      </w:pPr>
      <w:rPr>
        <w:rFonts w:hint="default"/>
      </w:rPr>
    </w:lvl>
  </w:abstractNum>
  <w:abstractNum w:abstractNumId="30" w15:restartNumberingAfterBreak="0">
    <w:nsid w:val="406228D4"/>
    <w:multiLevelType w:val="hybridMultilevel"/>
    <w:tmpl w:val="06AE7CD4"/>
    <w:lvl w:ilvl="0" w:tplc="04070005">
      <w:start w:val="1"/>
      <w:numFmt w:val="bullet"/>
      <w:lvlText w:val=""/>
      <w:lvlJc w:val="left"/>
      <w:pPr>
        <w:ind w:left="1287" w:hanging="360"/>
      </w:pPr>
      <w:rPr>
        <w:rFonts w:ascii="Wingdings" w:hAnsi="Wingdings"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31" w15:restartNumberingAfterBreak="0">
    <w:nsid w:val="41743391"/>
    <w:multiLevelType w:val="hybridMultilevel"/>
    <w:tmpl w:val="F8FEBDB8"/>
    <w:lvl w:ilvl="0" w:tplc="04070005">
      <w:start w:val="1"/>
      <w:numFmt w:val="bullet"/>
      <w:lvlText w:val=""/>
      <w:lvlJc w:val="left"/>
      <w:pPr>
        <w:ind w:left="1287" w:hanging="360"/>
      </w:pPr>
      <w:rPr>
        <w:rFonts w:ascii="Wingdings" w:hAnsi="Wingdings"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32" w15:restartNumberingAfterBreak="0">
    <w:nsid w:val="48BC0CD0"/>
    <w:multiLevelType w:val="hybridMultilevel"/>
    <w:tmpl w:val="4DE4B8B0"/>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3" w15:restartNumberingAfterBreak="0">
    <w:nsid w:val="492A15A4"/>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4" w15:restartNumberingAfterBreak="0">
    <w:nsid w:val="4B362741"/>
    <w:multiLevelType w:val="multilevel"/>
    <w:tmpl w:val="44A01B8C"/>
    <w:styleLink w:val="CMS-InternalNote"/>
    <w:lvl w:ilvl="0">
      <w:start w:val="1"/>
      <w:numFmt w:val="none"/>
      <w:pStyle w:val="CMSInternalNote"/>
      <w:lvlText w:val="Internal note:"/>
      <w:lvlJc w:val="left"/>
      <w:pPr>
        <w:ind w:left="2552" w:hanging="2552"/>
      </w:pPr>
      <w:rPr>
        <w:rFonts w:hint="default"/>
        <w:caps/>
        <w:color w:val="FF0000"/>
      </w:rPr>
    </w:lvl>
    <w:lvl w:ilvl="1">
      <w:start w:val="1"/>
      <w:numFmt w:val="none"/>
      <w:lvlRestart w:val="0"/>
      <w:isLgl/>
      <w:suff w:val="nothing"/>
      <w:lvlText w:val=""/>
      <w:lvlJc w:val="left"/>
      <w:pPr>
        <w:ind w:left="0"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suff w:val="nothing"/>
      <w:lvlText w:val=""/>
      <w:lvlJc w:val="righ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righ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right"/>
      <w:pPr>
        <w:ind w:left="0" w:firstLine="0"/>
      </w:pPr>
      <w:rPr>
        <w:rFonts w:hint="default"/>
      </w:rPr>
    </w:lvl>
  </w:abstractNum>
  <w:abstractNum w:abstractNumId="35" w15:restartNumberingAfterBreak="0">
    <w:nsid w:val="4D405CBB"/>
    <w:multiLevelType w:val="hybridMultilevel"/>
    <w:tmpl w:val="8606FF02"/>
    <w:lvl w:ilvl="0" w:tplc="4EE28B90">
      <w:start w:val="1"/>
      <w:numFmt w:val="decimal"/>
      <w:pStyle w:val="CMSParties"/>
      <w:lvlText w:val="(%1)"/>
      <w:lvlJc w:val="left"/>
      <w:pPr>
        <w:tabs>
          <w:tab w:val="num" w:pos="567"/>
        </w:tabs>
        <w:ind w:left="567" w:hanging="56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6" w15:restartNumberingAfterBreak="0">
    <w:nsid w:val="551C6470"/>
    <w:multiLevelType w:val="hybridMultilevel"/>
    <w:tmpl w:val="D9FE684C"/>
    <w:lvl w:ilvl="0" w:tplc="053AE966">
      <w:start w:val="1"/>
      <w:numFmt w:val="bullet"/>
      <w:lvlText w:val="−"/>
      <w:lvlJc w:val="left"/>
      <w:pPr>
        <w:ind w:left="720"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5B8C4ACD"/>
    <w:multiLevelType w:val="hybridMultilevel"/>
    <w:tmpl w:val="D7A6BE82"/>
    <w:lvl w:ilvl="0" w:tplc="0F14E78E">
      <w:start w:val="1"/>
      <w:numFmt w:val="upperLetter"/>
      <w:pStyle w:val="CMSPreambleA"/>
      <w:lvlText w:val="(%1)"/>
      <w:lvlJc w:val="left"/>
      <w:pPr>
        <w:tabs>
          <w:tab w:val="num" w:pos="567"/>
        </w:tabs>
        <w:ind w:left="567" w:hanging="56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8" w15:restartNumberingAfterBreak="0">
    <w:nsid w:val="5F0F0075"/>
    <w:multiLevelType w:val="multilevel"/>
    <w:tmpl w:val="24288416"/>
    <w:styleLink w:val="CMS-Dash"/>
    <w:lvl w:ilvl="0">
      <w:start w:val="1"/>
      <w:numFmt w:val="bullet"/>
      <w:pStyle w:val="CMSDash"/>
      <w:lvlText w:val="-"/>
      <w:lvlJc w:val="left"/>
      <w:pPr>
        <w:ind w:left="1134" w:hanging="567"/>
      </w:pPr>
      <w:rPr>
        <w:rFonts w:ascii="Times New Roman" w:hAnsi="Times New Roman" w:cs="Times New Roman" w:hint="default"/>
      </w:rPr>
    </w:lvl>
    <w:lvl w:ilvl="1">
      <w:start w:val="1"/>
      <w:numFmt w:val="bullet"/>
      <w:lvlText w:val="-"/>
      <w:lvlJc w:val="left"/>
      <w:pPr>
        <w:ind w:left="1134" w:hanging="567"/>
      </w:pPr>
      <w:rPr>
        <w:rFonts w:ascii="Arial" w:hAnsi="Arial" w:hint="default"/>
      </w:rPr>
    </w:lvl>
    <w:lvl w:ilvl="2">
      <w:start w:val="1"/>
      <w:numFmt w:val="bullet"/>
      <w:lvlText w:val="-"/>
      <w:lvlJc w:val="left"/>
      <w:pPr>
        <w:ind w:left="1701" w:hanging="567"/>
      </w:pPr>
      <w:rPr>
        <w:rFonts w:ascii="Arial" w:hAnsi="Arial" w:hint="default"/>
      </w:rPr>
    </w:lvl>
    <w:lvl w:ilvl="3">
      <w:start w:val="1"/>
      <w:numFmt w:val="bullet"/>
      <w:lvlText w:val="-"/>
      <w:lvlJc w:val="left"/>
      <w:pPr>
        <w:ind w:left="2268" w:hanging="567"/>
      </w:pPr>
      <w:rPr>
        <w:rFonts w:ascii="Arial" w:hAnsi="Arial" w:hint="default"/>
      </w:rPr>
    </w:lvl>
    <w:lvl w:ilvl="4">
      <w:start w:val="1"/>
      <w:numFmt w:val="bullet"/>
      <w:lvlText w:val="-"/>
      <w:lvlJc w:val="left"/>
      <w:pPr>
        <w:ind w:left="2835" w:hanging="567"/>
      </w:pPr>
      <w:rPr>
        <w:rFonts w:ascii="Arial" w:hAnsi="Arial" w:hint="default"/>
      </w:rPr>
    </w:lvl>
    <w:lvl w:ilvl="5">
      <w:start w:val="1"/>
      <w:numFmt w:val="bullet"/>
      <w:lvlText w:val="-"/>
      <w:lvlJc w:val="left"/>
      <w:pPr>
        <w:ind w:left="3402" w:hanging="567"/>
      </w:pPr>
      <w:rPr>
        <w:rFonts w:ascii="Arial" w:hAnsi="Arial" w:hint="default"/>
      </w:rPr>
    </w:lvl>
    <w:lvl w:ilvl="6">
      <w:start w:val="1"/>
      <w:numFmt w:val="bullet"/>
      <w:lvlText w:val="-"/>
      <w:lvlJc w:val="left"/>
      <w:pPr>
        <w:ind w:left="3969" w:hanging="567"/>
      </w:pPr>
      <w:rPr>
        <w:rFonts w:ascii="Arial" w:hAnsi="Arial" w:hint="default"/>
      </w:rPr>
    </w:lvl>
    <w:lvl w:ilvl="7">
      <w:start w:val="1"/>
      <w:numFmt w:val="bullet"/>
      <w:lvlText w:val="-"/>
      <w:lvlJc w:val="left"/>
      <w:pPr>
        <w:ind w:left="4536" w:hanging="567"/>
      </w:pPr>
      <w:rPr>
        <w:rFonts w:ascii="Arial" w:hAnsi="Arial" w:hint="default"/>
      </w:rPr>
    </w:lvl>
    <w:lvl w:ilvl="8">
      <w:start w:val="1"/>
      <w:numFmt w:val="bullet"/>
      <w:lvlText w:val="-"/>
      <w:lvlJc w:val="left"/>
      <w:pPr>
        <w:ind w:left="5103" w:hanging="567"/>
      </w:pPr>
      <w:rPr>
        <w:rFonts w:ascii="Arial" w:hAnsi="Arial" w:hint="default"/>
      </w:rPr>
    </w:lvl>
  </w:abstractNum>
  <w:abstractNum w:abstractNumId="39" w15:restartNumberingAfterBreak="0">
    <w:nsid w:val="61C50D22"/>
    <w:multiLevelType w:val="multilevel"/>
    <w:tmpl w:val="46966CD8"/>
    <w:styleLink w:val="CMS-PrimaFacieEvidence"/>
    <w:lvl w:ilvl="0">
      <w:start w:val="1"/>
      <w:numFmt w:val="none"/>
      <w:pStyle w:val="CMSPrimaFacieEvidence1"/>
      <w:lvlText w:val="%1Glaubhaftmachung:"/>
      <w:lvlJc w:val="left"/>
      <w:pPr>
        <w:ind w:left="2835" w:hanging="2268"/>
      </w:pPr>
      <w:rPr>
        <w:rFonts w:asciiTheme="minorHAnsi" w:hAnsiTheme="minorHAnsi" w:hint="default"/>
        <w:u w:val="single"/>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0" w15:restartNumberingAfterBreak="0">
    <w:nsid w:val="63C248AF"/>
    <w:multiLevelType w:val="hybridMultilevel"/>
    <w:tmpl w:val="36B41D7C"/>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760C6ABD"/>
    <w:multiLevelType w:val="multilevel"/>
    <w:tmpl w:val="F4DC2D50"/>
    <w:styleLink w:val="CMS-First"/>
    <w:lvl w:ilvl="0">
      <w:start w:val="1"/>
      <w:numFmt w:val="ordinalText"/>
      <w:pStyle w:val="CMSFirst"/>
      <w:lvlText w:val="%1ns"/>
      <w:lvlJc w:val="left"/>
      <w:pPr>
        <w:ind w:left="1701" w:hanging="1134"/>
      </w:pPr>
      <w:rPr>
        <w:rFonts w:ascii="Times New Roman" w:hAnsi="Times New Roman" w:hint="default"/>
        <w:b/>
        <w:u w:val="none"/>
      </w:rPr>
    </w:lvl>
    <w:lvl w:ilvl="1">
      <w:start w:val="1"/>
      <w:numFmt w:val="none"/>
      <w:lvlRestart w:val="0"/>
      <w:suff w:val="nothing"/>
      <w:lvlText w:val=""/>
      <w:lvlJc w:val="left"/>
      <w:pPr>
        <w:ind w:left="0" w:firstLine="0"/>
      </w:pPr>
      <w:rPr>
        <w:rFonts w:ascii="Times New Roman" w:hAnsi="Times New Roman" w:hint="default"/>
        <w:b/>
        <w:u w:val="single"/>
      </w:rPr>
    </w:lvl>
    <w:lvl w:ilvl="2">
      <w:start w:val="1"/>
      <w:numFmt w:val="none"/>
      <w:lvlRestart w:val="0"/>
      <w:suff w:val="nothing"/>
      <w:lvlText w:val=""/>
      <w:lvlJc w:val="left"/>
      <w:pPr>
        <w:ind w:left="0" w:firstLine="0"/>
      </w:pPr>
      <w:rPr>
        <w:rFonts w:ascii="Times New Roman" w:hAnsi="Times New Roman" w:hint="default"/>
        <w:b/>
        <w:u w:val="single"/>
      </w:rPr>
    </w:lvl>
    <w:lvl w:ilvl="3">
      <w:start w:val="1"/>
      <w:numFmt w:val="none"/>
      <w:lvlRestart w:val="0"/>
      <w:suff w:val="nothing"/>
      <w:lvlText w:val=""/>
      <w:lvlJc w:val="left"/>
      <w:pPr>
        <w:ind w:left="0" w:firstLine="0"/>
      </w:pPr>
      <w:rPr>
        <w:rFonts w:ascii="Times New Roman" w:hAnsi="Times New Roman" w:hint="default"/>
        <w:b/>
        <w:u w:val="single"/>
      </w:rPr>
    </w:lvl>
    <w:lvl w:ilvl="4">
      <w:start w:val="1"/>
      <w:numFmt w:val="none"/>
      <w:lvlRestart w:val="0"/>
      <w:suff w:val="nothing"/>
      <w:lvlText w:val=""/>
      <w:lvlJc w:val="left"/>
      <w:pPr>
        <w:ind w:left="0" w:firstLine="0"/>
      </w:pPr>
      <w:rPr>
        <w:rFonts w:ascii="Times New Roman" w:hAnsi="Times New Roman" w:hint="default"/>
        <w:b/>
        <w:u w:val="single"/>
      </w:rPr>
    </w:lvl>
    <w:lvl w:ilvl="5">
      <w:start w:val="1"/>
      <w:numFmt w:val="none"/>
      <w:lvlRestart w:val="0"/>
      <w:suff w:val="nothing"/>
      <w:lvlText w:val=""/>
      <w:lvlJc w:val="left"/>
      <w:pPr>
        <w:ind w:left="0" w:firstLine="0"/>
      </w:pPr>
      <w:rPr>
        <w:rFonts w:ascii="Times New Roman" w:hAnsi="Times New Roman" w:hint="default"/>
        <w:b/>
        <w:u w:val="single"/>
      </w:rPr>
    </w:lvl>
    <w:lvl w:ilvl="6">
      <w:start w:val="1"/>
      <w:numFmt w:val="none"/>
      <w:lvlRestart w:val="0"/>
      <w:suff w:val="nothing"/>
      <w:lvlText w:val=""/>
      <w:lvlJc w:val="left"/>
      <w:pPr>
        <w:ind w:left="0" w:firstLine="0"/>
      </w:pPr>
      <w:rPr>
        <w:rFonts w:ascii="Times New Roman" w:hAnsi="Times New Roman" w:hint="default"/>
        <w:b/>
        <w:u w:val="single"/>
      </w:rPr>
    </w:lvl>
    <w:lvl w:ilvl="7">
      <w:start w:val="1"/>
      <w:numFmt w:val="none"/>
      <w:lvlRestart w:val="0"/>
      <w:suff w:val="nothing"/>
      <w:lvlText w:val=""/>
      <w:lvlJc w:val="left"/>
      <w:pPr>
        <w:ind w:left="0" w:firstLine="0"/>
      </w:pPr>
      <w:rPr>
        <w:rFonts w:ascii="Times New Roman" w:hAnsi="Times New Roman" w:hint="default"/>
        <w:b/>
        <w:u w:val="single"/>
      </w:rPr>
    </w:lvl>
    <w:lvl w:ilvl="8">
      <w:start w:val="1"/>
      <w:numFmt w:val="none"/>
      <w:lvlRestart w:val="0"/>
      <w:suff w:val="nothing"/>
      <w:lvlText w:val=""/>
      <w:lvlJc w:val="left"/>
      <w:pPr>
        <w:ind w:left="0" w:firstLine="0"/>
      </w:pPr>
      <w:rPr>
        <w:rFonts w:ascii="Times New Roman" w:hAnsi="Times New Roman" w:hint="default"/>
        <w:b/>
        <w:u w:val="single"/>
      </w:rPr>
    </w:lvl>
  </w:abstractNum>
  <w:num w:numId="1">
    <w:abstractNumId w:val="24"/>
  </w:num>
  <w:num w:numId="2">
    <w:abstractNumId w:val="28"/>
  </w:num>
  <w:num w:numId="3">
    <w:abstractNumId w:val="33"/>
  </w:num>
  <w:num w:numId="4">
    <w:abstractNumId w:val="9"/>
  </w:num>
  <w:num w:numId="5">
    <w:abstractNumId w:val="7"/>
  </w:num>
  <w:num w:numId="6">
    <w:abstractNumId w:val="6"/>
  </w:num>
  <w:num w:numId="7">
    <w:abstractNumId w:val="5"/>
  </w:num>
  <w:num w:numId="8">
    <w:abstractNumId w:val="4"/>
  </w:num>
  <w:num w:numId="9">
    <w:abstractNumId w:val="35"/>
  </w:num>
  <w:num w:numId="10">
    <w:abstractNumId w:val="37"/>
  </w:num>
  <w:num w:numId="11">
    <w:abstractNumId w:val="26"/>
  </w:num>
  <w:num w:numId="12">
    <w:abstractNumId w:val="18"/>
  </w:num>
  <w:num w:numId="13">
    <w:abstractNumId w:val="38"/>
  </w:num>
  <w:num w:numId="14">
    <w:abstractNumId w:val="21"/>
  </w:num>
  <w:num w:numId="15">
    <w:abstractNumId w:val="19"/>
  </w:num>
  <w:num w:numId="16">
    <w:abstractNumId w:val="13"/>
  </w:num>
  <w:num w:numId="17">
    <w:abstractNumId w:val="27"/>
  </w:num>
  <w:num w:numId="18">
    <w:abstractNumId w:val="41"/>
  </w:num>
  <w:num w:numId="19">
    <w:abstractNumId w:val="11"/>
    <w:lvlOverride w:ilvl="0">
      <w:lvl w:ilvl="0">
        <w:start w:val="1"/>
        <w:numFmt w:val="upperLetter"/>
        <w:pStyle w:val="CMSHeading1"/>
        <w:lvlText w:val="%1."/>
        <w:lvlJc w:val="left"/>
        <w:pPr>
          <w:tabs>
            <w:tab w:val="num" w:pos="567"/>
          </w:tabs>
          <w:ind w:left="567" w:hanging="567"/>
        </w:pPr>
        <w:rPr>
          <w:rFonts w:hint="default"/>
        </w:rPr>
      </w:lvl>
    </w:lvlOverride>
    <w:lvlOverride w:ilvl="1">
      <w:lvl w:ilvl="1">
        <w:start w:val="1"/>
        <w:numFmt w:val="upperRoman"/>
        <w:pStyle w:val="CMSHeading2"/>
        <w:lvlText w:val="%2."/>
        <w:lvlJc w:val="left"/>
        <w:pPr>
          <w:tabs>
            <w:tab w:val="num" w:pos="567"/>
          </w:tabs>
          <w:ind w:left="567" w:hanging="567"/>
        </w:pPr>
        <w:rPr>
          <w:rFonts w:hint="default"/>
        </w:rPr>
      </w:lvl>
    </w:lvlOverride>
    <w:lvlOverride w:ilvl="2">
      <w:lvl w:ilvl="2">
        <w:start w:val="1"/>
        <w:numFmt w:val="decimal"/>
        <w:pStyle w:val="CMSHeading3"/>
        <w:lvlText w:val="%3."/>
        <w:lvlJc w:val="left"/>
        <w:pPr>
          <w:tabs>
            <w:tab w:val="num" w:pos="567"/>
          </w:tabs>
          <w:ind w:left="567" w:hanging="567"/>
        </w:pPr>
        <w:rPr>
          <w:rFonts w:hint="default"/>
        </w:rPr>
      </w:lvl>
    </w:lvlOverride>
    <w:lvlOverride w:ilvl="3">
      <w:lvl w:ilvl="3">
        <w:start w:val="1"/>
        <w:numFmt w:val="lowerLetter"/>
        <w:pStyle w:val="CMSHeading4"/>
        <w:lvlText w:val="%4)"/>
        <w:lvlJc w:val="left"/>
        <w:pPr>
          <w:tabs>
            <w:tab w:val="num" w:pos="1134"/>
          </w:tabs>
          <w:ind w:left="1134" w:hanging="567"/>
        </w:pPr>
        <w:rPr>
          <w:rFonts w:hint="default"/>
        </w:rPr>
      </w:lvl>
    </w:lvlOverride>
    <w:lvlOverride w:ilvl="4">
      <w:lvl w:ilvl="4">
        <w:start w:val="27"/>
        <w:numFmt w:val="lowerLetter"/>
        <w:pStyle w:val="CMSHeading5"/>
        <w:lvlText w:val="%5)"/>
        <w:lvlJc w:val="left"/>
        <w:pPr>
          <w:tabs>
            <w:tab w:val="num" w:pos="1701"/>
          </w:tabs>
          <w:ind w:left="1701" w:hanging="567"/>
        </w:pPr>
        <w:rPr>
          <w:rFonts w:hint="default"/>
        </w:rPr>
      </w:lvl>
    </w:lvlOverride>
    <w:lvlOverride w:ilvl="5">
      <w:lvl w:ilvl="5">
        <w:start w:val="1"/>
        <w:numFmt w:val="lowerRoman"/>
        <w:pStyle w:val="CMSHeading6"/>
        <w:lvlText w:val="(%6)"/>
        <w:lvlJc w:val="left"/>
        <w:pPr>
          <w:tabs>
            <w:tab w:val="num" w:pos="2268"/>
          </w:tabs>
          <w:ind w:left="2268" w:hanging="567"/>
        </w:pPr>
        <w:rPr>
          <w:rFonts w:hint="default"/>
        </w:rPr>
      </w:lvl>
    </w:lvlOverride>
    <w:lvlOverride w:ilvl="6">
      <w:lvl w:ilvl="6">
        <w:start w:val="1"/>
        <w:numFmt w:val="decimal"/>
        <w:pStyle w:val="CMSHeading7"/>
        <w:lvlText w:val="(%7)"/>
        <w:lvlJc w:val="left"/>
        <w:pPr>
          <w:tabs>
            <w:tab w:val="num" w:pos="2835"/>
          </w:tabs>
          <w:ind w:left="2835" w:hanging="567"/>
        </w:pPr>
        <w:rPr>
          <w:rFonts w:hint="default"/>
        </w:rPr>
      </w:lvl>
    </w:lvlOverride>
    <w:lvlOverride w:ilvl="7">
      <w:lvl w:ilvl="7">
        <w:start w:val="1"/>
        <w:numFmt w:val="none"/>
        <w:pStyle w:val="CMSHeading8"/>
        <w:suff w:val="nothing"/>
        <w:lvlText w:val=""/>
        <w:lvlJc w:val="left"/>
        <w:pPr>
          <w:ind w:left="0" w:firstLine="0"/>
        </w:pPr>
        <w:rPr>
          <w:rFonts w:hint="default"/>
        </w:rPr>
      </w:lvl>
    </w:lvlOverride>
    <w:lvlOverride w:ilvl="8">
      <w:lvl w:ilvl="8">
        <w:start w:val="1"/>
        <w:numFmt w:val="none"/>
        <w:pStyle w:val="CMSHeading9"/>
        <w:suff w:val="nothing"/>
        <w:lvlText w:val=""/>
        <w:lvlJc w:val="left"/>
        <w:pPr>
          <w:ind w:left="0" w:firstLine="0"/>
        </w:pPr>
        <w:rPr>
          <w:rFonts w:hint="default"/>
        </w:rPr>
      </w:lvl>
    </w:lvlOverride>
  </w:num>
  <w:num w:numId="20">
    <w:abstractNumId w:val="34"/>
  </w:num>
  <w:num w:numId="21">
    <w:abstractNumId w:val="14"/>
  </w:num>
  <w:num w:numId="22">
    <w:abstractNumId w:val="15"/>
  </w:num>
  <w:num w:numId="23">
    <w:abstractNumId w:val="29"/>
  </w:num>
  <w:num w:numId="24">
    <w:abstractNumId w:val="39"/>
  </w:num>
  <w:num w:numId="25">
    <w:abstractNumId w:val="20"/>
  </w:num>
  <w:num w:numId="26">
    <w:abstractNumId w:val="22"/>
  </w:num>
  <w:num w:numId="27">
    <w:abstractNumId w:val="25"/>
  </w:num>
  <w:num w:numId="28">
    <w:abstractNumId w:val="8"/>
  </w:num>
  <w:num w:numId="29">
    <w:abstractNumId w:val="3"/>
  </w:num>
  <w:num w:numId="30">
    <w:abstractNumId w:val="2"/>
  </w:num>
  <w:num w:numId="31">
    <w:abstractNumId w:val="1"/>
  </w:num>
  <w:num w:numId="32">
    <w:abstractNumId w:val="0"/>
  </w:num>
  <w:num w:numId="33">
    <w:abstractNumId w:val="16"/>
  </w:num>
  <w:num w:numId="34">
    <w:abstractNumId w:val="36"/>
  </w:num>
  <w:num w:numId="35">
    <w:abstractNumId w:val="12"/>
  </w:num>
  <w:num w:numId="36">
    <w:abstractNumId w:val="40"/>
  </w:num>
  <w:num w:numId="37">
    <w:abstractNumId w:val="11"/>
  </w:num>
  <w:num w:numId="38">
    <w:abstractNumId w:val="11"/>
    <w:lvlOverride w:ilvl="1">
      <w:lvl w:ilvl="1">
        <w:start w:val="1"/>
        <w:numFmt w:val="upperRoman"/>
        <w:pStyle w:val="CMSHeading2"/>
        <w:lvlText w:val="%2."/>
        <w:lvlJc w:val="left"/>
        <w:pPr>
          <w:tabs>
            <w:tab w:val="num" w:pos="567"/>
          </w:tabs>
          <w:ind w:left="567" w:hanging="567"/>
        </w:pPr>
        <w:rPr>
          <w:rFonts w:hint="default"/>
          <w:sz w:val="28"/>
          <w:szCs w:val="28"/>
        </w:rPr>
      </w:lvl>
    </w:lvlOverride>
  </w:num>
  <w:num w:numId="39">
    <w:abstractNumId w:val="23"/>
  </w:num>
  <w:num w:numId="40">
    <w:abstractNumId w:val="32"/>
  </w:num>
  <w:num w:numId="41">
    <w:abstractNumId w:val="17"/>
  </w:num>
  <w:num w:numId="42">
    <w:abstractNumId w:val="11"/>
    <w:lvlOverride w:ilvl="0">
      <w:startOverride w:val="1"/>
      <w:lvl w:ilvl="0">
        <w:start w:val="1"/>
        <w:numFmt w:val="decimal"/>
        <w:pStyle w:val="CMSHeading1"/>
        <w:lvlText w:val=""/>
        <w:lvlJc w:val="left"/>
      </w:lvl>
    </w:lvlOverride>
    <w:lvlOverride w:ilvl="1">
      <w:startOverride w:val="1"/>
      <w:lvl w:ilvl="1">
        <w:start w:val="1"/>
        <w:numFmt w:val="upperRoman"/>
        <w:pStyle w:val="CMSHeading2"/>
        <w:lvlText w:val="%2."/>
        <w:lvlJc w:val="left"/>
        <w:pPr>
          <w:tabs>
            <w:tab w:val="num" w:pos="567"/>
          </w:tabs>
          <w:ind w:left="567" w:hanging="567"/>
        </w:pPr>
        <w:rPr>
          <w:rFonts w:hint="default"/>
          <w:sz w:val="28"/>
          <w:szCs w:val="28"/>
        </w:rPr>
      </w:lvl>
    </w:lvlOverride>
    <w:lvlOverride w:ilvl="2">
      <w:startOverride w:val="5"/>
      <w:lvl w:ilvl="2">
        <w:start w:val="5"/>
        <w:numFmt w:val="decimal"/>
        <w:pStyle w:val="CMSHeading3"/>
        <w:lvlText w:val=""/>
        <w:lvlJc w:val="left"/>
      </w:lvl>
    </w:lvlOverride>
  </w:num>
  <w:num w:numId="43">
    <w:abstractNumId w:val="30"/>
  </w:num>
  <w:num w:numId="44">
    <w:abstractNumId w:val="31"/>
  </w:num>
  <w:num w:numId="45">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embedSystemFonts/>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stylePaneSortMethod w:val="0000"/>
  <w:trackRevisions/>
  <w:defaultTabStop w:val="567"/>
  <w:autoHyphenation/>
  <w:hyphenationZone w:val="425"/>
  <w:drawingGridHorizontalSpacing w:val="283"/>
  <w:drawingGridVerticalSpacing w:val="283"/>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1E7"/>
    <w:rsid w:val="0000040E"/>
    <w:rsid w:val="000005B9"/>
    <w:rsid w:val="0000132B"/>
    <w:rsid w:val="000024A3"/>
    <w:rsid w:val="000101B5"/>
    <w:rsid w:val="000117A2"/>
    <w:rsid w:val="00013546"/>
    <w:rsid w:val="0001485E"/>
    <w:rsid w:val="00015EF2"/>
    <w:rsid w:val="000179E8"/>
    <w:rsid w:val="00020D72"/>
    <w:rsid w:val="00025559"/>
    <w:rsid w:val="00031CC8"/>
    <w:rsid w:val="00037399"/>
    <w:rsid w:val="000425B0"/>
    <w:rsid w:val="00042AF3"/>
    <w:rsid w:val="00044129"/>
    <w:rsid w:val="00045026"/>
    <w:rsid w:val="0004532A"/>
    <w:rsid w:val="00050D00"/>
    <w:rsid w:val="00052FAC"/>
    <w:rsid w:val="00053347"/>
    <w:rsid w:val="0005606C"/>
    <w:rsid w:val="000571BA"/>
    <w:rsid w:val="0006261D"/>
    <w:rsid w:val="000634F7"/>
    <w:rsid w:val="00063666"/>
    <w:rsid w:val="000643F3"/>
    <w:rsid w:val="00067578"/>
    <w:rsid w:val="00067D74"/>
    <w:rsid w:val="000709AE"/>
    <w:rsid w:val="00071B1E"/>
    <w:rsid w:val="000734B0"/>
    <w:rsid w:val="00073BE8"/>
    <w:rsid w:val="00073E24"/>
    <w:rsid w:val="0007635A"/>
    <w:rsid w:val="00081907"/>
    <w:rsid w:val="000851C8"/>
    <w:rsid w:val="0008596C"/>
    <w:rsid w:val="00085AB1"/>
    <w:rsid w:val="00087F1E"/>
    <w:rsid w:val="00090196"/>
    <w:rsid w:val="00091605"/>
    <w:rsid w:val="00092188"/>
    <w:rsid w:val="000937A1"/>
    <w:rsid w:val="000965A6"/>
    <w:rsid w:val="000A0CAE"/>
    <w:rsid w:val="000A21AF"/>
    <w:rsid w:val="000C32AE"/>
    <w:rsid w:val="000C4168"/>
    <w:rsid w:val="000C4AF1"/>
    <w:rsid w:val="000C4E12"/>
    <w:rsid w:val="000D12A0"/>
    <w:rsid w:val="000D5A9D"/>
    <w:rsid w:val="000D6156"/>
    <w:rsid w:val="000E0D84"/>
    <w:rsid w:val="000E0E74"/>
    <w:rsid w:val="000E11C1"/>
    <w:rsid w:val="000E1FEB"/>
    <w:rsid w:val="000E70CF"/>
    <w:rsid w:val="000E7B62"/>
    <w:rsid w:val="000E7FA0"/>
    <w:rsid w:val="000F0522"/>
    <w:rsid w:val="000F4C86"/>
    <w:rsid w:val="000F6859"/>
    <w:rsid w:val="000F7EFB"/>
    <w:rsid w:val="0010752C"/>
    <w:rsid w:val="00107DDB"/>
    <w:rsid w:val="001101C1"/>
    <w:rsid w:val="001155D6"/>
    <w:rsid w:val="0011672A"/>
    <w:rsid w:val="0011730E"/>
    <w:rsid w:val="001177C2"/>
    <w:rsid w:val="00117987"/>
    <w:rsid w:val="0012021F"/>
    <w:rsid w:val="001224AD"/>
    <w:rsid w:val="001264BF"/>
    <w:rsid w:val="00126FA0"/>
    <w:rsid w:val="00127670"/>
    <w:rsid w:val="001323FE"/>
    <w:rsid w:val="00135F7C"/>
    <w:rsid w:val="00137A6F"/>
    <w:rsid w:val="00140360"/>
    <w:rsid w:val="0014250B"/>
    <w:rsid w:val="001426D9"/>
    <w:rsid w:val="00143E59"/>
    <w:rsid w:val="00146E88"/>
    <w:rsid w:val="00147121"/>
    <w:rsid w:val="00147616"/>
    <w:rsid w:val="0015548C"/>
    <w:rsid w:val="0015636C"/>
    <w:rsid w:val="00156957"/>
    <w:rsid w:val="00157822"/>
    <w:rsid w:val="00160F53"/>
    <w:rsid w:val="0016520D"/>
    <w:rsid w:val="00180621"/>
    <w:rsid w:val="00183817"/>
    <w:rsid w:val="00184B92"/>
    <w:rsid w:val="00186C69"/>
    <w:rsid w:val="00186D0D"/>
    <w:rsid w:val="00191131"/>
    <w:rsid w:val="00192515"/>
    <w:rsid w:val="00196FE6"/>
    <w:rsid w:val="001A02EB"/>
    <w:rsid w:val="001A0BC6"/>
    <w:rsid w:val="001A3F23"/>
    <w:rsid w:val="001B027A"/>
    <w:rsid w:val="001B1782"/>
    <w:rsid w:val="001B17C1"/>
    <w:rsid w:val="001B2F6B"/>
    <w:rsid w:val="001B5386"/>
    <w:rsid w:val="001B6198"/>
    <w:rsid w:val="001C1AD5"/>
    <w:rsid w:val="001C254F"/>
    <w:rsid w:val="001C2E9E"/>
    <w:rsid w:val="001C4469"/>
    <w:rsid w:val="001C6EB4"/>
    <w:rsid w:val="001D00C3"/>
    <w:rsid w:val="001D0B8B"/>
    <w:rsid w:val="001D0BBF"/>
    <w:rsid w:val="001D44FA"/>
    <w:rsid w:val="001D4BD4"/>
    <w:rsid w:val="001D511B"/>
    <w:rsid w:val="001D6482"/>
    <w:rsid w:val="001D6AFE"/>
    <w:rsid w:val="001D6BED"/>
    <w:rsid w:val="001D6DDD"/>
    <w:rsid w:val="001D7B10"/>
    <w:rsid w:val="001D7FCA"/>
    <w:rsid w:val="001E08E5"/>
    <w:rsid w:val="001E4324"/>
    <w:rsid w:val="001E533F"/>
    <w:rsid w:val="001E7C6F"/>
    <w:rsid w:val="001F0AAF"/>
    <w:rsid w:val="001F48CF"/>
    <w:rsid w:val="001F67F7"/>
    <w:rsid w:val="001F6C25"/>
    <w:rsid w:val="0020187A"/>
    <w:rsid w:val="00206B90"/>
    <w:rsid w:val="00221596"/>
    <w:rsid w:val="002226A7"/>
    <w:rsid w:val="002227B7"/>
    <w:rsid w:val="0022303F"/>
    <w:rsid w:val="002239F1"/>
    <w:rsid w:val="00223C49"/>
    <w:rsid w:val="00227BF6"/>
    <w:rsid w:val="002309D8"/>
    <w:rsid w:val="00232094"/>
    <w:rsid w:val="00235D67"/>
    <w:rsid w:val="0024031A"/>
    <w:rsid w:val="002418D2"/>
    <w:rsid w:val="002433E4"/>
    <w:rsid w:val="00243D3C"/>
    <w:rsid w:val="002441BD"/>
    <w:rsid w:val="002465FE"/>
    <w:rsid w:val="0025227E"/>
    <w:rsid w:val="00252595"/>
    <w:rsid w:val="00253130"/>
    <w:rsid w:val="00253B98"/>
    <w:rsid w:val="002567CC"/>
    <w:rsid w:val="002615E1"/>
    <w:rsid w:val="0026202C"/>
    <w:rsid w:val="00263EAC"/>
    <w:rsid w:val="002707D4"/>
    <w:rsid w:val="00271B88"/>
    <w:rsid w:val="0027281E"/>
    <w:rsid w:val="00272CB6"/>
    <w:rsid w:val="00274C83"/>
    <w:rsid w:val="002774EF"/>
    <w:rsid w:val="00280E07"/>
    <w:rsid w:val="00282B06"/>
    <w:rsid w:val="00284080"/>
    <w:rsid w:val="00286547"/>
    <w:rsid w:val="0028673A"/>
    <w:rsid w:val="00295368"/>
    <w:rsid w:val="002967AE"/>
    <w:rsid w:val="00297E24"/>
    <w:rsid w:val="00297FBC"/>
    <w:rsid w:val="002A04AD"/>
    <w:rsid w:val="002A1E62"/>
    <w:rsid w:val="002A2B1B"/>
    <w:rsid w:val="002A3D47"/>
    <w:rsid w:val="002B0E4C"/>
    <w:rsid w:val="002B2582"/>
    <w:rsid w:val="002B29BA"/>
    <w:rsid w:val="002B2BAC"/>
    <w:rsid w:val="002B71B9"/>
    <w:rsid w:val="002C002F"/>
    <w:rsid w:val="002C064C"/>
    <w:rsid w:val="002C3F14"/>
    <w:rsid w:val="002C4DA1"/>
    <w:rsid w:val="002D57B3"/>
    <w:rsid w:val="002E09A2"/>
    <w:rsid w:val="002E14D4"/>
    <w:rsid w:val="002E1DAB"/>
    <w:rsid w:val="002E421A"/>
    <w:rsid w:val="002E5EF5"/>
    <w:rsid w:val="002F01B2"/>
    <w:rsid w:val="002F0B46"/>
    <w:rsid w:val="002F2278"/>
    <w:rsid w:val="002F2279"/>
    <w:rsid w:val="002F559E"/>
    <w:rsid w:val="002F6FC4"/>
    <w:rsid w:val="00302723"/>
    <w:rsid w:val="00304C26"/>
    <w:rsid w:val="00307647"/>
    <w:rsid w:val="00307BB8"/>
    <w:rsid w:val="00310B42"/>
    <w:rsid w:val="00310DB2"/>
    <w:rsid w:val="00310E7B"/>
    <w:rsid w:val="00316E0F"/>
    <w:rsid w:val="00322AFD"/>
    <w:rsid w:val="0032324F"/>
    <w:rsid w:val="00327585"/>
    <w:rsid w:val="0033273A"/>
    <w:rsid w:val="00334456"/>
    <w:rsid w:val="00337173"/>
    <w:rsid w:val="00350E11"/>
    <w:rsid w:val="00351B3A"/>
    <w:rsid w:val="0035468E"/>
    <w:rsid w:val="003569E5"/>
    <w:rsid w:val="00362032"/>
    <w:rsid w:val="00362D18"/>
    <w:rsid w:val="003661BB"/>
    <w:rsid w:val="003667D2"/>
    <w:rsid w:val="0036705C"/>
    <w:rsid w:val="00372A06"/>
    <w:rsid w:val="00374772"/>
    <w:rsid w:val="00375391"/>
    <w:rsid w:val="003811A2"/>
    <w:rsid w:val="00382705"/>
    <w:rsid w:val="00385601"/>
    <w:rsid w:val="00385A56"/>
    <w:rsid w:val="00387C48"/>
    <w:rsid w:val="0039253E"/>
    <w:rsid w:val="00394331"/>
    <w:rsid w:val="00394458"/>
    <w:rsid w:val="003A1863"/>
    <w:rsid w:val="003A35D8"/>
    <w:rsid w:val="003A645B"/>
    <w:rsid w:val="003A6FAF"/>
    <w:rsid w:val="003B2727"/>
    <w:rsid w:val="003B34DE"/>
    <w:rsid w:val="003C2499"/>
    <w:rsid w:val="003C2C57"/>
    <w:rsid w:val="003C4AC7"/>
    <w:rsid w:val="003C719F"/>
    <w:rsid w:val="003D32E8"/>
    <w:rsid w:val="003D4397"/>
    <w:rsid w:val="003E032E"/>
    <w:rsid w:val="003E06D3"/>
    <w:rsid w:val="003E1A35"/>
    <w:rsid w:val="003E2CC8"/>
    <w:rsid w:val="003E50D4"/>
    <w:rsid w:val="003E5A20"/>
    <w:rsid w:val="003E66E8"/>
    <w:rsid w:val="003F206B"/>
    <w:rsid w:val="003F2CAD"/>
    <w:rsid w:val="003F3ADC"/>
    <w:rsid w:val="003F55DB"/>
    <w:rsid w:val="003F67C7"/>
    <w:rsid w:val="003F70BE"/>
    <w:rsid w:val="003F765E"/>
    <w:rsid w:val="00400167"/>
    <w:rsid w:val="00403554"/>
    <w:rsid w:val="00405F30"/>
    <w:rsid w:val="004071BF"/>
    <w:rsid w:val="00407737"/>
    <w:rsid w:val="004077B7"/>
    <w:rsid w:val="00411CB1"/>
    <w:rsid w:val="0041303E"/>
    <w:rsid w:val="00414C09"/>
    <w:rsid w:val="0041667B"/>
    <w:rsid w:val="00424437"/>
    <w:rsid w:val="00432EDF"/>
    <w:rsid w:val="0043755C"/>
    <w:rsid w:val="00440AE5"/>
    <w:rsid w:val="0044195C"/>
    <w:rsid w:val="00443BD0"/>
    <w:rsid w:val="0044737B"/>
    <w:rsid w:val="00455D55"/>
    <w:rsid w:val="004566A4"/>
    <w:rsid w:val="004568A2"/>
    <w:rsid w:val="00457569"/>
    <w:rsid w:val="00460F2D"/>
    <w:rsid w:val="00461407"/>
    <w:rsid w:val="004679CD"/>
    <w:rsid w:val="0047022D"/>
    <w:rsid w:val="0047194F"/>
    <w:rsid w:val="00471BF9"/>
    <w:rsid w:val="0047632E"/>
    <w:rsid w:val="004802CF"/>
    <w:rsid w:val="00483347"/>
    <w:rsid w:val="00490398"/>
    <w:rsid w:val="0049086D"/>
    <w:rsid w:val="0049293E"/>
    <w:rsid w:val="004A21AE"/>
    <w:rsid w:val="004A47D8"/>
    <w:rsid w:val="004B204B"/>
    <w:rsid w:val="004B61A7"/>
    <w:rsid w:val="004C221F"/>
    <w:rsid w:val="004C2A48"/>
    <w:rsid w:val="004C5A45"/>
    <w:rsid w:val="004C7B40"/>
    <w:rsid w:val="004D10E4"/>
    <w:rsid w:val="004D5868"/>
    <w:rsid w:val="004E1591"/>
    <w:rsid w:val="004E508A"/>
    <w:rsid w:val="004E6B23"/>
    <w:rsid w:val="004F25D5"/>
    <w:rsid w:val="004F68D2"/>
    <w:rsid w:val="0050048F"/>
    <w:rsid w:val="0050073F"/>
    <w:rsid w:val="005034DB"/>
    <w:rsid w:val="00504848"/>
    <w:rsid w:val="00505350"/>
    <w:rsid w:val="00505EED"/>
    <w:rsid w:val="005062BB"/>
    <w:rsid w:val="005076CE"/>
    <w:rsid w:val="0051244D"/>
    <w:rsid w:val="005130BD"/>
    <w:rsid w:val="0051416C"/>
    <w:rsid w:val="00517166"/>
    <w:rsid w:val="00522144"/>
    <w:rsid w:val="00522357"/>
    <w:rsid w:val="00522FC0"/>
    <w:rsid w:val="00531E5F"/>
    <w:rsid w:val="00537671"/>
    <w:rsid w:val="0053794F"/>
    <w:rsid w:val="00542809"/>
    <w:rsid w:val="00543011"/>
    <w:rsid w:val="00544A44"/>
    <w:rsid w:val="00547B89"/>
    <w:rsid w:val="00550B7C"/>
    <w:rsid w:val="00551675"/>
    <w:rsid w:val="00553582"/>
    <w:rsid w:val="00553F36"/>
    <w:rsid w:val="00560BAC"/>
    <w:rsid w:val="00560F2C"/>
    <w:rsid w:val="005629EF"/>
    <w:rsid w:val="00563FD3"/>
    <w:rsid w:val="00573ECE"/>
    <w:rsid w:val="00575265"/>
    <w:rsid w:val="00582A76"/>
    <w:rsid w:val="005914CF"/>
    <w:rsid w:val="00595480"/>
    <w:rsid w:val="00596701"/>
    <w:rsid w:val="00596FC9"/>
    <w:rsid w:val="005A12D0"/>
    <w:rsid w:val="005A24E6"/>
    <w:rsid w:val="005A505C"/>
    <w:rsid w:val="005A650B"/>
    <w:rsid w:val="005B2692"/>
    <w:rsid w:val="005B5A00"/>
    <w:rsid w:val="005B70C7"/>
    <w:rsid w:val="005C0674"/>
    <w:rsid w:val="005C1568"/>
    <w:rsid w:val="005C33FB"/>
    <w:rsid w:val="005C3587"/>
    <w:rsid w:val="005D484D"/>
    <w:rsid w:val="005D5A25"/>
    <w:rsid w:val="005E6E95"/>
    <w:rsid w:val="005E72C4"/>
    <w:rsid w:val="005E7A9D"/>
    <w:rsid w:val="005F07BB"/>
    <w:rsid w:val="005F18BB"/>
    <w:rsid w:val="005F2960"/>
    <w:rsid w:val="00604656"/>
    <w:rsid w:val="006062AB"/>
    <w:rsid w:val="006062B7"/>
    <w:rsid w:val="00606E56"/>
    <w:rsid w:val="00613753"/>
    <w:rsid w:val="00617EA2"/>
    <w:rsid w:val="00631221"/>
    <w:rsid w:val="006332BA"/>
    <w:rsid w:val="00634B19"/>
    <w:rsid w:val="0063531F"/>
    <w:rsid w:val="0064323E"/>
    <w:rsid w:val="00643975"/>
    <w:rsid w:val="006465EA"/>
    <w:rsid w:val="00650A8B"/>
    <w:rsid w:val="00652E2B"/>
    <w:rsid w:val="00653C8F"/>
    <w:rsid w:val="00654308"/>
    <w:rsid w:val="00662BED"/>
    <w:rsid w:val="0066681A"/>
    <w:rsid w:val="006668C7"/>
    <w:rsid w:val="00667881"/>
    <w:rsid w:val="006705F1"/>
    <w:rsid w:val="00672084"/>
    <w:rsid w:val="00674BC2"/>
    <w:rsid w:val="00674E38"/>
    <w:rsid w:val="0067539E"/>
    <w:rsid w:val="006763B1"/>
    <w:rsid w:val="00676BB7"/>
    <w:rsid w:val="00681351"/>
    <w:rsid w:val="006813B8"/>
    <w:rsid w:val="006825B4"/>
    <w:rsid w:val="00683EC4"/>
    <w:rsid w:val="0068665B"/>
    <w:rsid w:val="00686EA7"/>
    <w:rsid w:val="00692666"/>
    <w:rsid w:val="00693848"/>
    <w:rsid w:val="00693DF5"/>
    <w:rsid w:val="00697602"/>
    <w:rsid w:val="006A1068"/>
    <w:rsid w:val="006A532D"/>
    <w:rsid w:val="006A78B1"/>
    <w:rsid w:val="006B09BB"/>
    <w:rsid w:val="006B50BA"/>
    <w:rsid w:val="006C3EE1"/>
    <w:rsid w:val="006C69C0"/>
    <w:rsid w:val="006C739F"/>
    <w:rsid w:val="006D5A05"/>
    <w:rsid w:val="006F0CA2"/>
    <w:rsid w:val="006F0D26"/>
    <w:rsid w:val="006F1C5F"/>
    <w:rsid w:val="006F35AF"/>
    <w:rsid w:val="006F3A1C"/>
    <w:rsid w:val="006F4015"/>
    <w:rsid w:val="006F72F7"/>
    <w:rsid w:val="006F73A1"/>
    <w:rsid w:val="007003CE"/>
    <w:rsid w:val="00701B5F"/>
    <w:rsid w:val="0070629B"/>
    <w:rsid w:val="00707227"/>
    <w:rsid w:val="00710ADB"/>
    <w:rsid w:val="0071141F"/>
    <w:rsid w:val="007124E8"/>
    <w:rsid w:val="00712F40"/>
    <w:rsid w:val="0071550E"/>
    <w:rsid w:val="00716F2E"/>
    <w:rsid w:val="007174E0"/>
    <w:rsid w:val="0072614A"/>
    <w:rsid w:val="00726D52"/>
    <w:rsid w:val="00733530"/>
    <w:rsid w:val="007357B2"/>
    <w:rsid w:val="00737328"/>
    <w:rsid w:val="00741C10"/>
    <w:rsid w:val="00742528"/>
    <w:rsid w:val="00746D0F"/>
    <w:rsid w:val="007474CF"/>
    <w:rsid w:val="00752F87"/>
    <w:rsid w:val="00753E0C"/>
    <w:rsid w:val="0075794A"/>
    <w:rsid w:val="00762104"/>
    <w:rsid w:val="0076451E"/>
    <w:rsid w:val="0076728D"/>
    <w:rsid w:val="007701BC"/>
    <w:rsid w:val="0077617C"/>
    <w:rsid w:val="0077733C"/>
    <w:rsid w:val="0077790A"/>
    <w:rsid w:val="00781BB4"/>
    <w:rsid w:val="007851BD"/>
    <w:rsid w:val="00786A88"/>
    <w:rsid w:val="00791AA2"/>
    <w:rsid w:val="007928EC"/>
    <w:rsid w:val="007A0FB5"/>
    <w:rsid w:val="007A268E"/>
    <w:rsid w:val="007A369A"/>
    <w:rsid w:val="007A7908"/>
    <w:rsid w:val="007B4FBA"/>
    <w:rsid w:val="007B5D14"/>
    <w:rsid w:val="007B5E0E"/>
    <w:rsid w:val="007B6238"/>
    <w:rsid w:val="007B6E81"/>
    <w:rsid w:val="007B7BF8"/>
    <w:rsid w:val="007C06E1"/>
    <w:rsid w:val="007C0716"/>
    <w:rsid w:val="007C282D"/>
    <w:rsid w:val="007C4B06"/>
    <w:rsid w:val="007C4D06"/>
    <w:rsid w:val="007C5AC9"/>
    <w:rsid w:val="007C664B"/>
    <w:rsid w:val="007C7582"/>
    <w:rsid w:val="007D0E8D"/>
    <w:rsid w:val="007D1E5A"/>
    <w:rsid w:val="007D4432"/>
    <w:rsid w:val="007E0207"/>
    <w:rsid w:val="007E0C76"/>
    <w:rsid w:val="007E258A"/>
    <w:rsid w:val="007E62B5"/>
    <w:rsid w:val="007E6D42"/>
    <w:rsid w:val="007F01FB"/>
    <w:rsid w:val="007F060B"/>
    <w:rsid w:val="007F4987"/>
    <w:rsid w:val="007F58FA"/>
    <w:rsid w:val="00800E44"/>
    <w:rsid w:val="008030D3"/>
    <w:rsid w:val="00803167"/>
    <w:rsid w:val="0080642D"/>
    <w:rsid w:val="00813F05"/>
    <w:rsid w:val="00817B7D"/>
    <w:rsid w:val="008207FC"/>
    <w:rsid w:val="0082660A"/>
    <w:rsid w:val="00826EE3"/>
    <w:rsid w:val="00833178"/>
    <w:rsid w:val="00833AD1"/>
    <w:rsid w:val="00842528"/>
    <w:rsid w:val="00842E2A"/>
    <w:rsid w:val="0085048A"/>
    <w:rsid w:val="00856237"/>
    <w:rsid w:val="00856654"/>
    <w:rsid w:val="00857A46"/>
    <w:rsid w:val="00861771"/>
    <w:rsid w:val="008626C6"/>
    <w:rsid w:val="008626DC"/>
    <w:rsid w:val="00864090"/>
    <w:rsid w:val="00871DE0"/>
    <w:rsid w:val="00873F81"/>
    <w:rsid w:val="0087750C"/>
    <w:rsid w:val="00880749"/>
    <w:rsid w:val="00880E4A"/>
    <w:rsid w:val="0088284C"/>
    <w:rsid w:val="0088327F"/>
    <w:rsid w:val="008832B6"/>
    <w:rsid w:val="00885CAB"/>
    <w:rsid w:val="00886338"/>
    <w:rsid w:val="008876BA"/>
    <w:rsid w:val="008907AC"/>
    <w:rsid w:val="008920AA"/>
    <w:rsid w:val="008934EB"/>
    <w:rsid w:val="0089617D"/>
    <w:rsid w:val="00896285"/>
    <w:rsid w:val="00897379"/>
    <w:rsid w:val="008A1867"/>
    <w:rsid w:val="008A2B93"/>
    <w:rsid w:val="008A6A7F"/>
    <w:rsid w:val="008A7BFE"/>
    <w:rsid w:val="008B4EA4"/>
    <w:rsid w:val="008B5548"/>
    <w:rsid w:val="008C1560"/>
    <w:rsid w:val="008C467A"/>
    <w:rsid w:val="008C57FB"/>
    <w:rsid w:val="008C5A7B"/>
    <w:rsid w:val="008D000E"/>
    <w:rsid w:val="008D2B45"/>
    <w:rsid w:val="008D2EC8"/>
    <w:rsid w:val="008D6E41"/>
    <w:rsid w:val="008E0411"/>
    <w:rsid w:val="008E1212"/>
    <w:rsid w:val="008E2DA0"/>
    <w:rsid w:val="008E7BF5"/>
    <w:rsid w:val="008E7D1B"/>
    <w:rsid w:val="008F146A"/>
    <w:rsid w:val="008F1CE9"/>
    <w:rsid w:val="008F2FCE"/>
    <w:rsid w:val="008F345E"/>
    <w:rsid w:val="008F6406"/>
    <w:rsid w:val="008F7FEF"/>
    <w:rsid w:val="00901AF8"/>
    <w:rsid w:val="00903B7C"/>
    <w:rsid w:val="00904D3E"/>
    <w:rsid w:val="009065B2"/>
    <w:rsid w:val="00907770"/>
    <w:rsid w:val="009147F0"/>
    <w:rsid w:val="00914B90"/>
    <w:rsid w:val="009158E5"/>
    <w:rsid w:val="00917098"/>
    <w:rsid w:val="00920E47"/>
    <w:rsid w:val="00926960"/>
    <w:rsid w:val="00930588"/>
    <w:rsid w:val="00930916"/>
    <w:rsid w:val="009328E8"/>
    <w:rsid w:val="00940A4E"/>
    <w:rsid w:val="00942024"/>
    <w:rsid w:val="00942B4B"/>
    <w:rsid w:val="009435CB"/>
    <w:rsid w:val="00943978"/>
    <w:rsid w:val="00947446"/>
    <w:rsid w:val="00952B42"/>
    <w:rsid w:val="0095629D"/>
    <w:rsid w:val="009600D9"/>
    <w:rsid w:val="00970F06"/>
    <w:rsid w:val="00971175"/>
    <w:rsid w:val="00971C2F"/>
    <w:rsid w:val="0097408B"/>
    <w:rsid w:val="0097446A"/>
    <w:rsid w:val="00975218"/>
    <w:rsid w:val="00976CE2"/>
    <w:rsid w:val="0098033C"/>
    <w:rsid w:val="00987A70"/>
    <w:rsid w:val="00987EA5"/>
    <w:rsid w:val="009900C7"/>
    <w:rsid w:val="00990377"/>
    <w:rsid w:val="00992A7E"/>
    <w:rsid w:val="0099316C"/>
    <w:rsid w:val="009A03FF"/>
    <w:rsid w:val="009A0E37"/>
    <w:rsid w:val="009A11F3"/>
    <w:rsid w:val="009A29AB"/>
    <w:rsid w:val="009A3541"/>
    <w:rsid w:val="009A383D"/>
    <w:rsid w:val="009A3B63"/>
    <w:rsid w:val="009A5177"/>
    <w:rsid w:val="009B333F"/>
    <w:rsid w:val="009B47B8"/>
    <w:rsid w:val="009C0F36"/>
    <w:rsid w:val="009C291E"/>
    <w:rsid w:val="009C56AF"/>
    <w:rsid w:val="009C68ED"/>
    <w:rsid w:val="009C769F"/>
    <w:rsid w:val="009C7BE3"/>
    <w:rsid w:val="009C7FD0"/>
    <w:rsid w:val="009D255E"/>
    <w:rsid w:val="009D6402"/>
    <w:rsid w:val="009D6636"/>
    <w:rsid w:val="009E0AB6"/>
    <w:rsid w:val="009E1EF2"/>
    <w:rsid w:val="009E4ECE"/>
    <w:rsid w:val="009E6559"/>
    <w:rsid w:val="009E7128"/>
    <w:rsid w:val="009F3181"/>
    <w:rsid w:val="009F7858"/>
    <w:rsid w:val="00A041E3"/>
    <w:rsid w:val="00A059DC"/>
    <w:rsid w:val="00A10EE2"/>
    <w:rsid w:val="00A12045"/>
    <w:rsid w:val="00A14C35"/>
    <w:rsid w:val="00A15B3F"/>
    <w:rsid w:val="00A178A9"/>
    <w:rsid w:val="00A222FC"/>
    <w:rsid w:val="00A241BD"/>
    <w:rsid w:val="00A30DC0"/>
    <w:rsid w:val="00A32D84"/>
    <w:rsid w:val="00A37B81"/>
    <w:rsid w:val="00A4141F"/>
    <w:rsid w:val="00A42F97"/>
    <w:rsid w:val="00A44E6D"/>
    <w:rsid w:val="00A46C1B"/>
    <w:rsid w:val="00A57113"/>
    <w:rsid w:val="00A57347"/>
    <w:rsid w:val="00A57F0E"/>
    <w:rsid w:val="00A60BA2"/>
    <w:rsid w:val="00A615A5"/>
    <w:rsid w:val="00A671E7"/>
    <w:rsid w:val="00A677F5"/>
    <w:rsid w:val="00A679B2"/>
    <w:rsid w:val="00A72734"/>
    <w:rsid w:val="00A731ED"/>
    <w:rsid w:val="00A746C9"/>
    <w:rsid w:val="00A74EF4"/>
    <w:rsid w:val="00A76D61"/>
    <w:rsid w:val="00A816D3"/>
    <w:rsid w:val="00A81B7E"/>
    <w:rsid w:val="00A85EC7"/>
    <w:rsid w:val="00A86514"/>
    <w:rsid w:val="00A87812"/>
    <w:rsid w:val="00A90C48"/>
    <w:rsid w:val="00A95BD8"/>
    <w:rsid w:val="00AA1D84"/>
    <w:rsid w:val="00AA24F0"/>
    <w:rsid w:val="00AA46CE"/>
    <w:rsid w:val="00AB2579"/>
    <w:rsid w:val="00AB4916"/>
    <w:rsid w:val="00AB4E26"/>
    <w:rsid w:val="00AC0237"/>
    <w:rsid w:val="00AC59E5"/>
    <w:rsid w:val="00AC5C51"/>
    <w:rsid w:val="00AC5D66"/>
    <w:rsid w:val="00AC6DEA"/>
    <w:rsid w:val="00AD1C2B"/>
    <w:rsid w:val="00AD48B9"/>
    <w:rsid w:val="00AD4EBE"/>
    <w:rsid w:val="00AE073D"/>
    <w:rsid w:val="00AE34BF"/>
    <w:rsid w:val="00AF154C"/>
    <w:rsid w:val="00AF4A98"/>
    <w:rsid w:val="00AF4F2D"/>
    <w:rsid w:val="00AF50C6"/>
    <w:rsid w:val="00AF5EE5"/>
    <w:rsid w:val="00AF74B8"/>
    <w:rsid w:val="00B0246D"/>
    <w:rsid w:val="00B10158"/>
    <w:rsid w:val="00B12B42"/>
    <w:rsid w:val="00B12CA9"/>
    <w:rsid w:val="00B138B1"/>
    <w:rsid w:val="00B14105"/>
    <w:rsid w:val="00B15843"/>
    <w:rsid w:val="00B16A58"/>
    <w:rsid w:val="00B17A00"/>
    <w:rsid w:val="00B2040A"/>
    <w:rsid w:val="00B25304"/>
    <w:rsid w:val="00B272CE"/>
    <w:rsid w:val="00B27832"/>
    <w:rsid w:val="00B33958"/>
    <w:rsid w:val="00B34A28"/>
    <w:rsid w:val="00B442C0"/>
    <w:rsid w:val="00B515D7"/>
    <w:rsid w:val="00B5426C"/>
    <w:rsid w:val="00B54F9D"/>
    <w:rsid w:val="00B56FFD"/>
    <w:rsid w:val="00B57F6C"/>
    <w:rsid w:val="00B61A1D"/>
    <w:rsid w:val="00B63864"/>
    <w:rsid w:val="00B67AAE"/>
    <w:rsid w:val="00B70C61"/>
    <w:rsid w:val="00B72C4A"/>
    <w:rsid w:val="00B74B5A"/>
    <w:rsid w:val="00B828E0"/>
    <w:rsid w:val="00B83AF2"/>
    <w:rsid w:val="00B83D65"/>
    <w:rsid w:val="00B8530A"/>
    <w:rsid w:val="00B90E0C"/>
    <w:rsid w:val="00B92344"/>
    <w:rsid w:val="00B92D1E"/>
    <w:rsid w:val="00B93C6D"/>
    <w:rsid w:val="00B946A4"/>
    <w:rsid w:val="00B94B84"/>
    <w:rsid w:val="00B9578F"/>
    <w:rsid w:val="00B95F9F"/>
    <w:rsid w:val="00BA181C"/>
    <w:rsid w:val="00BA2603"/>
    <w:rsid w:val="00BB1AE2"/>
    <w:rsid w:val="00BB1F71"/>
    <w:rsid w:val="00BB20AA"/>
    <w:rsid w:val="00BB26E6"/>
    <w:rsid w:val="00BB4288"/>
    <w:rsid w:val="00BB62FF"/>
    <w:rsid w:val="00BC1CC3"/>
    <w:rsid w:val="00BC527C"/>
    <w:rsid w:val="00BC52DC"/>
    <w:rsid w:val="00BC7B99"/>
    <w:rsid w:val="00BD42C7"/>
    <w:rsid w:val="00BD5931"/>
    <w:rsid w:val="00BD7937"/>
    <w:rsid w:val="00BE01E3"/>
    <w:rsid w:val="00BE259A"/>
    <w:rsid w:val="00BF044A"/>
    <w:rsid w:val="00BF170A"/>
    <w:rsid w:val="00BF2987"/>
    <w:rsid w:val="00BF4592"/>
    <w:rsid w:val="00C007CF"/>
    <w:rsid w:val="00C03C80"/>
    <w:rsid w:val="00C15CD0"/>
    <w:rsid w:val="00C17736"/>
    <w:rsid w:val="00C22A22"/>
    <w:rsid w:val="00C23A5F"/>
    <w:rsid w:val="00C24781"/>
    <w:rsid w:val="00C24E1D"/>
    <w:rsid w:val="00C338D8"/>
    <w:rsid w:val="00C34BCD"/>
    <w:rsid w:val="00C36605"/>
    <w:rsid w:val="00C3733C"/>
    <w:rsid w:val="00C37866"/>
    <w:rsid w:val="00C37BB1"/>
    <w:rsid w:val="00C40B09"/>
    <w:rsid w:val="00C40C7F"/>
    <w:rsid w:val="00C40F08"/>
    <w:rsid w:val="00C4265F"/>
    <w:rsid w:val="00C4320A"/>
    <w:rsid w:val="00C43C59"/>
    <w:rsid w:val="00C468A6"/>
    <w:rsid w:val="00C47356"/>
    <w:rsid w:val="00C503F5"/>
    <w:rsid w:val="00C50B76"/>
    <w:rsid w:val="00C57BD3"/>
    <w:rsid w:val="00C65700"/>
    <w:rsid w:val="00C65F93"/>
    <w:rsid w:val="00C66F13"/>
    <w:rsid w:val="00C704DD"/>
    <w:rsid w:val="00C7166B"/>
    <w:rsid w:val="00C71BCB"/>
    <w:rsid w:val="00C73F5D"/>
    <w:rsid w:val="00C74AB9"/>
    <w:rsid w:val="00C76FD3"/>
    <w:rsid w:val="00C839AC"/>
    <w:rsid w:val="00C8781E"/>
    <w:rsid w:val="00C9108D"/>
    <w:rsid w:val="00C9400A"/>
    <w:rsid w:val="00C9498B"/>
    <w:rsid w:val="00C95133"/>
    <w:rsid w:val="00C95632"/>
    <w:rsid w:val="00CA02BB"/>
    <w:rsid w:val="00CA1772"/>
    <w:rsid w:val="00CA22CA"/>
    <w:rsid w:val="00CA279D"/>
    <w:rsid w:val="00CA61E5"/>
    <w:rsid w:val="00CB2BB1"/>
    <w:rsid w:val="00CB649E"/>
    <w:rsid w:val="00CC07DE"/>
    <w:rsid w:val="00CC15E2"/>
    <w:rsid w:val="00CC1CF0"/>
    <w:rsid w:val="00CC4BE3"/>
    <w:rsid w:val="00CD667C"/>
    <w:rsid w:val="00CE0665"/>
    <w:rsid w:val="00CE7E7F"/>
    <w:rsid w:val="00CF0F79"/>
    <w:rsid w:val="00CF11D8"/>
    <w:rsid w:val="00CF262F"/>
    <w:rsid w:val="00CF5B05"/>
    <w:rsid w:val="00CF7EE9"/>
    <w:rsid w:val="00D02665"/>
    <w:rsid w:val="00D041F9"/>
    <w:rsid w:val="00D11036"/>
    <w:rsid w:val="00D12708"/>
    <w:rsid w:val="00D16AF1"/>
    <w:rsid w:val="00D17FD7"/>
    <w:rsid w:val="00D211ED"/>
    <w:rsid w:val="00D22C11"/>
    <w:rsid w:val="00D257B4"/>
    <w:rsid w:val="00D26FF1"/>
    <w:rsid w:val="00D315D0"/>
    <w:rsid w:val="00D352AE"/>
    <w:rsid w:val="00D35CB6"/>
    <w:rsid w:val="00D36EF9"/>
    <w:rsid w:val="00D37423"/>
    <w:rsid w:val="00D41655"/>
    <w:rsid w:val="00D442B0"/>
    <w:rsid w:val="00D47404"/>
    <w:rsid w:val="00D51FB8"/>
    <w:rsid w:val="00D55BC3"/>
    <w:rsid w:val="00D573C9"/>
    <w:rsid w:val="00D57D97"/>
    <w:rsid w:val="00D6208E"/>
    <w:rsid w:val="00D63BA9"/>
    <w:rsid w:val="00D71893"/>
    <w:rsid w:val="00D72B1C"/>
    <w:rsid w:val="00D76AAC"/>
    <w:rsid w:val="00D805DD"/>
    <w:rsid w:val="00D808E1"/>
    <w:rsid w:val="00D81CA6"/>
    <w:rsid w:val="00D82883"/>
    <w:rsid w:val="00D833BB"/>
    <w:rsid w:val="00D93E5D"/>
    <w:rsid w:val="00D95C6F"/>
    <w:rsid w:val="00D961B7"/>
    <w:rsid w:val="00DA024A"/>
    <w:rsid w:val="00DA133A"/>
    <w:rsid w:val="00DA48BC"/>
    <w:rsid w:val="00DA5259"/>
    <w:rsid w:val="00DA54CC"/>
    <w:rsid w:val="00DA5AE3"/>
    <w:rsid w:val="00DB5EAA"/>
    <w:rsid w:val="00DB6055"/>
    <w:rsid w:val="00DB6CE8"/>
    <w:rsid w:val="00DB7DE2"/>
    <w:rsid w:val="00DC0BA9"/>
    <w:rsid w:val="00DC5F03"/>
    <w:rsid w:val="00DC6BE6"/>
    <w:rsid w:val="00DD01D3"/>
    <w:rsid w:val="00DD1403"/>
    <w:rsid w:val="00DD1CCD"/>
    <w:rsid w:val="00DD254B"/>
    <w:rsid w:val="00DD4620"/>
    <w:rsid w:val="00DE2ED3"/>
    <w:rsid w:val="00DE32EC"/>
    <w:rsid w:val="00DE565E"/>
    <w:rsid w:val="00DE56AC"/>
    <w:rsid w:val="00DE6DC5"/>
    <w:rsid w:val="00DF439F"/>
    <w:rsid w:val="00DF4645"/>
    <w:rsid w:val="00DF5A19"/>
    <w:rsid w:val="00E06A24"/>
    <w:rsid w:val="00E07FCA"/>
    <w:rsid w:val="00E07FED"/>
    <w:rsid w:val="00E109A7"/>
    <w:rsid w:val="00E13B28"/>
    <w:rsid w:val="00E14336"/>
    <w:rsid w:val="00E1456E"/>
    <w:rsid w:val="00E146EC"/>
    <w:rsid w:val="00E221F9"/>
    <w:rsid w:val="00E23E2C"/>
    <w:rsid w:val="00E241AD"/>
    <w:rsid w:val="00E308BC"/>
    <w:rsid w:val="00E332D7"/>
    <w:rsid w:val="00E34E30"/>
    <w:rsid w:val="00E4225C"/>
    <w:rsid w:val="00E437B1"/>
    <w:rsid w:val="00E44319"/>
    <w:rsid w:val="00E46BB0"/>
    <w:rsid w:val="00E541CA"/>
    <w:rsid w:val="00E5493C"/>
    <w:rsid w:val="00E5662D"/>
    <w:rsid w:val="00E56E76"/>
    <w:rsid w:val="00E57029"/>
    <w:rsid w:val="00E66F6C"/>
    <w:rsid w:val="00E7182E"/>
    <w:rsid w:val="00E71F64"/>
    <w:rsid w:val="00E72C6F"/>
    <w:rsid w:val="00E745DE"/>
    <w:rsid w:val="00E775A0"/>
    <w:rsid w:val="00E80DBD"/>
    <w:rsid w:val="00E83E6F"/>
    <w:rsid w:val="00E84C14"/>
    <w:rsid w:val="00E859D6"/>
    <w:rsid w:val="00E86861"/>
    <w:rsid w:val="00E8741E"/>
    <w:rsid w:val="00E92522"/>
    <w:rsid w:val="00E94679"/>
    <w:rsid w:val="00E97C25"/>
    <w:rsid w:val="00EA3F00"/>
    <w:rsid w:val="00EA506D"/>
    <w:rsid w:val="00EA74DE"/>
    <w:rsid w:val="00EB0A79"/>
    <w:rsid w:val="00EB24DF"/>
    <w:rsid w:val="00EB2F88"/>
    <w:rsid w:val="00EC4226"/>
    <w:rsid w:val="00EC6606"/>
    <w:rsid w:val="00ED327E"/>
    <w:rsid w:val="00ED73E5"/>
    <w:rsid w:val="00EE1867"/>
    <w:rsid w:val="00EE320F"/>
    <w:rsid w:val="00EE3B66"/>
    <w:rsid w:val="00EE3FB8"/>
    <w:rsid w:val="00EE5C25"/>
    <w:rsid w:val="00EF0DF7"/>
    <w:rsid w:val="00EF1549"/>
    <w:rsid w:val="00EF1C45"/>
    <w:rsid w:val="00EF2765"/>
    <w:rsid w:val="00EF4099"/>
    <w:rsid w:val="00EF685B"/>
    <w:rsid w:val="00EF6FBB"/>
    <w:rsid w:val="00F01111"/>
    <w:rsid w:val="00F02864"/>
    <w:rsid w:val="00F04734"/>
    <w:rsid w:val="00F06169"/>
    <w:rsid w:val="00F12C03"/>
    <w:rsid w:val="00F13821"/>
    <w:rsid w:val="00F2073F"/>
    <w:rsid w:val="00F2294B"/>
    <w:rsid w:val="00F24160"/>
    <w:rsid w:val="00F30631"/>
    <w:rsid w:val="00F33895"/>
    <w:rsid w:val="00F35B2A"/>
    <w:rsid w:val="00F35C67"/>
    <w:rsid w:val="00F3664D"/>
    <w:rsid w:val="00F404EA"/>
    <w:rsid w:val="00F4074E"/>
    <w:rsid w:val="00F41C53"/>
    <w:rsid w:val="00F44175"/>
    <w:rsid w:val="00F47093"/>
    <w:rsid w:val="00F4743D"/>
    <w:rsid w:val="00F5156B"/>
    <w:rsid w:val="00F53A73"/>
    <w:rsid w:val="00F54D33"/>
    <w:rsid w:val="00F55C5B"/>
    <w:rsid w:val="00F6401C"/>
    <w:rsid w:val="00F6514C"/>
    <w:rsid w:val="00F66FE8"/>
    <w:rsid w:val="00F71B6F"/>
    <w:rsid w:val="00F723EF"/>
    <w:rsid w:val="00F72F39"/>
    <w:rsid w:val="00F813DA"/>
    <w:rsid w:val="00F82BBB"/>
    <w:rsid w:val="00F9209D"/>
    <w:rsid w:val="00F94367"/>
    <w:rsid w:val="00F95B6E"/>
    <w:rsid w:val="00FA1C68"/>
    <w:rsid w:val="00FA1DF0"/>
    <w:rsid w:val="00FA3A6E"/>
    <w:rsid w:val="00FA4F14"/>
    <w:rsid w:val="00FB11CF"/>
    <w:rsid w:val="00FB184C"/>
    <w:rsid w:val="00FB1B2D"/>
    <w:rsid w:val="00FB69E6"/>
    <w:rsid w:val="00FC0B35"/>
    <w:rsid w:val="00FC0B8C"/>
    <w:rsid w:val="00FC171D"/>
    <w:rsid w:val="00FC1D39"/>
    <w:rsid w:val="00FC3019"/>
    <w:rsid w:val="00FC561E"/>
    <w:rsid w:val="00FC598A"/>
    <w:rsid w:val="00FC710A"/>
    <w:rsid w:val="00FD05D3"/>
    <w:rsid w:val="00FD1ACB"/>
    <w:rsid w:val="00FD525C"/>
    <w:rsid w:val="00FD6065"/>
    <w:rsid w:val="00FD7F7E"/>
    <w:rsid w:val="00FE244E"/>
    <w:rsid w:val="00FF1924"/>
    <w:rsid w:val="00FF45DA"/>
    <w:rsid w:val="00FF4D5C"/>
    <w:rsid w:val="00FF6B81"/>
    <w:rsid w:val="00FF749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2F80B26"/>
  <w15:chartTrackingRefBased/>
  <w15:docId w15:val="{ECA4A1BC-CE89-4CA2-9664-8A7FFA892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imes New Roman"/>
        <w:sz w:val="24"/>
        <w:szCs w:val="24"/>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0C4AF1"/>
    <w:pPr>
      <w:suppressAutoHyphens/>
      <w:adjustRightInd w:val="0"/>
      <w:snapToGrid w:val="0"/>
    </w:pPr>
  </w:style>
  <w:style w:type="paragraph" w:styleId="berschrift1">
    <w:name w:val="heading 1"/>
    <w:basedOn w:val="Standard"/>
    <w:next w:val="Standard"/>
    <w:semiHidden/>
    <w:rsid w:val="00B27832"/>
    <w:pPr>
      <w:keepNext/>
      <w:spacing w:after="60"/>
      <w:outlineLvl w:val="0"/>
    </w:pPr>
    <w:rPr>
      <w:rFonts w:cs="Arial"/>
      <w:b/>
      <w:bCs/>
      <w:kern w:val="32"/>
      <w:sz w:val="32"/>
      <w:szCs w:val="32"/>
    </w:rPr>
  </w:style>
  <w:style w:type="paragraph" w:styleId="berschrift2">
    <w:name w:val="heading 2"/>
    <w:basedOn w:val="Standard"/>
    <w:next w:val="Standard"/>
    <w:semiHidden/>
    <w:rsid w:val="00B27832"/>
    <w:pPr>
      <w:keepNext/>
      <w:spacing w:after="60"/>
      <w:outlineLvl w:val="1"/>
    </w:pPr>
    <w:rPr>
      <w:rFonts w:cs="Arial"/>
      <w:b/>
      <w:bCs/>
      <w:i/>
      <w:iCs/>
      <w:sz w:val="28"/>
      <w:szCs w:val="28"/>
    </w:rPr>
  </w:style>
  <w:style w:type="paragraph" w:styleId="berschrift3">
    <w:name w:val="heading 3"/>
    <w:basedOn w:val="Standard"/>
    <w:next w:val="Standard"/>
    <w:semiHidden/>
    <w:rsid w:val="00B27832"/>
    <w:pPr>
      <w:keepNext/>
      <w:spacing w:after="60"/>
      <w:outlineLvl w:val="2"/>
    </w:pPr>
    <w:rPr>
      <w:rFonts w:cs="Arial"/>
      <w:b/>
      <w:bCs/>
      <w:sz w:val="26"/>
      <w:szCs w:val="26"/>
    </w:rPr>
  </w:style>
  <w:style w:type="paragraph" w:styleId="berschrift4">
    <w:name w:val="heading 4"/>
    <w:basedOn w:val="Standard"/>
    <w:next w:val="Standard"/>
    <w:semiHidden/>
    <w:rsid w:val="00B27832"/>
    <w:pPr>
      <w:keepNext/>
      <w:spacing w:after="60"/>
      <w:outlineLvl w:val="3"/>
    </w:pPr>
    <w:rPr>
      <w:b/>
      <w:bCs/>
      <w:sz w:val="28"/>
      <w:szCs w:val="28"/>
    </w:rPr>
  </w:style>
  <w:style w:type="paragraph" w:styleId="berschrift5">
    <w:name w:val="heading 5"/>
    <w:basedOn w:val="Standard"/>
    <w:next w:val="Standard"/>
    <w:semiHidden/>
    <w:rsid w:val="00B27832"/>
    <w:pPr>
      <w:spacing w:after="60"/>
      <w:outlineLvl w:val="4"/>
    </w:pPr>
    <w:rPr>
      <w:b/>
      <w:bCs/>
      <w:i/>
      <w:iCs/>
      <w:sz w:val="26"/>
      <w:szCs w:val="26"/>
    </w:rPr>
  </w:style>
  <w:style w:type="paragraph" w:styleId="berschrift6">
    <w:name w:val="heading 6"/>
    <w:basedOn w:val="Standard"/>
    <w:next w:val="Standard"/>
    <w:semiHidden/>
    <w:rsid w:val="00B27832"/>
    <w:pPr>
      <w:spacing w:after="60"/>
      <w:outlineLvl w:val="5"/>
    </w:pPr>
    <w:rPr>
      <w:b/>
      <w:bCs/>
      <w:szCs w:val="22"/>
    </w:rPr>
  </w:style>
  <w:style w:type="paragraph" w:styleId="berschrift7">
    <w:name w:val="heading 7"/>
    <w:basedOn w:val="Standard"/>
    <w:next w:val="Standard"/>
    <w:semiHidden/>
    <w:rsid w:val="00B27832"/>
    <w:pPr>
      <w:spacing w:after="60"/>
      <w:outlineLvl w:val="6"/>
    </w:pPr>
  </w:style>
  <w:style w:type="paragraph" w:styleId="berschrift8">
    <w:name w:val="heading 8"/>
    <w:basedOn w:val="Standard"/>
    <w:next w:val="Standard"/>
    <w:semiHidden/>
    <w:rsid w:val="00B27832"/>
    <w:pPr>
      <w:spacing w:after="60"/>
      <w:outlineLvl w:val="7"/>
    </w:pPr>
    <w:rPr>
      <w:i/>
      <w:iCs/>
    </w:rPr>
  </w:style>
  <w:style w:type="paragraph" w:styleId="berschrift9">
    <w:name w:val="heading 9"/>
    <w:basedOn w:val="Standard"/>
    <w:next w:val="Standard"/>
    <w:semiHidden/>
    <w:rsid w:val="00B27832"/>
    <w:pPr>
      <w:spacing w:after="60"/>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numbering" w:styleId="111111">
    <w:name w:val="Outline List 2"/>
    <w:basedOn w:val="KeineListe"/>
    <w:rsid w:val="00B27832"/>
    <w:pPr>
      <w:numPr>
        <w:numId w:val="1"/>
      </w:numPr>
    </w:pPr>
  </w:style>
  <w:style w:type="numbering" w:styleId="1ai">
    <w:name w:val="Outline List 1"/>
    <w:basedOn w:val="KeineListe"/>
    <w:rsid w:val="00B27832"/>
    <w:pPr>
      <w:numPr>
        <w:numId w:val="2"/>
      </w:numPr>
    </w:pPr>
  </w:style>
  <w:style w:type="paragraph" w:styleId="Anrede">
    <w:name w:val="Salutation"/>
    <w:basedOn w:val="Standard"/>
    <w:next w:val="Standard"/>
    <w:link w:val="AnredeZchn"/>
    <w:semiHidden/>
    <w:rsid w:val="00B27832"/>
  </w:style>
  <w:style w:type="character" w:customStyle="1" w:styleId="AnredeZchn">
    <w:name w:val="Anrede Zchn"/>
    <w:basedOn w:val="Absatz-Standardschriftart"/>
    <w:link w:val="Anrede"/>
    <w:semiHidden/>
    <w:rsid w:val="00B27832"/>
  </w:style>
  <w:style w:type="numbering" w:styleId="ArtikelAbschnitt">
    <w:name w:val="Outline List 3"/>
    <w:basedOn w:val="KeineListe"/>
    <w:rsid w:val="00B27832"/>
    <w:pPr>
      <w:numPr>
        <w:numId w:val="3"/>
      </w:numPr>
    </w:pPr>
  </w:style>
  <w:style w:type="paragraph" w:styleId="Aufzhlungszeichen">
    <w:name w:val="List Bullet"/>
    <w:basedOn w:val="Standard"/>
    <w:semiHidden/>
    <w:rsid w:val="00B27832"/>
    <w:pPr>
      <w:numPr>
        <w:numId w:val="4"/>
      </w:numPr>
      <w:tabs>
        <w:tab w:val="left" w:pos="567"/>
      </w:tabs>
    </w:pPr>
  </w:style>
  <w:style w:type="paragraph" w:styleId="Aufzhlungszeichen2">
    <w:name w:val="List Bullet 2"/>
    <w:basedOn w:val="Standard"/>
    <w:semiHidden/>
    <w:rsid w:val="00B27832"/>
    <w:pPr>
      <w:numPr>
        <w:numId w:val="5"/>
      </w:numPr>
    </w:pPr>
  </w:style>
  <w:style w:type="paragraph" w:styleId="Aufzhlungszeichen3">
    <w:name w:val="List Bullet 3"/>
    <w:basedOn w:val="Standard"/>
    <w:semiHidden/>
    <w:rsid w:val="00B27832"/>
    <w:pPr>
      <w:numPr>
        <w:numId w:val="6"/>
      </w:numPr>
    </w:pPr>
  </w:style>
  <w:style w:type="paragraph" w:styleId="Aufzhlungszeichen4">
    <w:name w:val="List Bullet 4"/>
    <w:basedOn w:val="Standard"/>
    <w:semiHidden/>
    <w:rsid w:val="00B27832"/>
    <w:pPr>
      <w:numPr>
        <w:numId w:val="7"/>
      </w:numPr>
    </w:pPr>
  </w:style>
  <w:style w:type="paragraph" w:styleId="Aufzhlungszeichen5">
    <w:name w:val="List Bullet 5"/>
    <w:basedOn w:val="Standard"/>
    <w:semiHidden/>
    <w:rsid w:val="00B27832"/>
    <w:pPr>
      <w:numPr>
        <w:numId w:val="8"/>
      </w:numPr>
    </w:pPr>
  </w:style>
  <w:style w:type="character" w:styleId="BesuchterLink">
    <w:name w:val="FollowedHyperlink"/>
    <w:basedOn w:val="Absatz-Standardschriftart"/>
    <w:semiHidden/>
    <w:rsid w:val="00B27832"/>
    <w:rPr>
      <w:color w:val="800080"/>
      <w:u w:val="single"/>
    </w:rPr>
  </w:style>
  <w:style w:type="paragraph" w:styleId="Blocktext">
    <w:name w:val="Block Text"/>
    <w:basedOn w:val="Standard"/>
    <w:semiHidden/>
    <w:rsid w:val="00B27832"/>
    <w:pPr>
      <w:ind w:left="1440" w:right="1440"/>
    </w:pPr>
  </w:style>
  <w:style w:type="paragraph" w:customStyle="1" w:styleId="CMSNote">
    <w:name w:val="CMS Note"/>
    <w:basedOn w:val="Standard"/>
    <w:next w:val="Standard"/>
    <w:qFormat/>
    <w:rsid w:val="00B27832"/>
    <w:pPr>
      <w:numPr>
        <w:numId w:val="22"/>
      </w:numPr>
      <w:pBdr>
        <w:top w:val="single" w:sz="4" w:space="2" w:color="auto" w:shadow="1"/>
        <w:left w:val="single" w:sz="4" w:space="4" w:color="auto" w:shadow="1"/>
        <w:bottom w:val="single" w:sz="4" w:space="4" w:color="auto" w:shadow="1"/>
        <w:right w:val="single" w:sz="4" w:space="4" w:color="auto" w:shadow="1"/>
      </w:pBdr>
      <w:adjustRightInd/>
      <w:snapToGrid/>
    </w:pPr>
    <w:rPr>
      <w:b/>
      <w:i/>
      <w:lang w:val="en-GB"/>
    </w:rPr>
  </w:style>
  <w:style w:type="paragraph" w:customStyle="1" w:styleId="CMSAnmerkung">
    <w:name w:val="CMS Anmerkung"/>
    <w:basedOn w:val="CMSNote"/>
    <w:next w:val="Standard"/>
    <w:qFormat/>
    <w:rsid w:val="00B27832"/>
    <w:pPr>
      <w:numPr>
        <w:numId w:val="11"/>
      </w:numPr>
    </w:pPr>
    <w:rPr>
      <w:lang w:val="de-DE"/>
    </w:rPr>
  </w:style>
  <w:style w:type="paragraph" w:customStyle="1" w:styleId="CMSDash">
    <w:name w:val="CMS Dash"/>
    <w:basedOn w:val="Standard"/>
    <w:qFormat/>
    <w:rsid w:val="00B27832"/>
    <w:pPr>
      <w:numPr>
        <w:numId w:val="13"/>
      </w:numPr>
    </w:pPr>
  </w:style>
  <w:style w:type="paragraph" w:customStyle="1" w:styleId="CMSDefinitions1">
    <w:name w:val="CMS Definitions 1"/>
    <w:basedOn w:val="Standard"/>
    <w:semiHidden/>
    <w:rsid w:val="00B27832"/>
    <w:pPr>
      <w:numPr>
        <w:numId w:val="14"/>
      </w:numPr>
      <w:spacing w:before="120"/>
      <w:outlineLvl w:val="0"/>
    </w:pPr>
    <w:rPr>
      <w:lang w:val="en-GB"/>
    </w:rPr>
  </w:style>
  <w:style w:type="paragraph" w:customStyle="1" w:styleId="CMSDefinitions2">
    <w:name w:val="CMS Definitions 2"/>
    <w:basedOn w:val="Standard"/>
    <w:semiHidden/>
    <w:rsid w:val="00B27832"/>
    <w:pPr>
      <w:numPr>
        <w:ilvl w:val="1"/>
        <w:numId w:val="14"/>
      </w:numPr>
      <w:spacing w:before="120"/>
      <w:outlineLvl w:val="1"/>
    </w:pPr>
    <w:rPr>
      <w:lang w:val="en-GB"/>
    </w:rPr>
  </w:style>
  <w:style w:type="paragraph" w:customStyle="1" w:styleId="CMSDefinitions3">
    <w:name w:val="CMS Definitions 3"/>
    <w:basedOn w:val="Standard"/>
    <w:semiHidden/>
    <w:rsid w:val="00B27832"/>
    <w:pPr>
      <w:numPr>
        <w:ilvl w:val="2"/>
        <w:numId w:val="14"/>
      </w:numPr>
      <w:spacing w:before="120"/>
      <w:outlineLvl w:val="2"/>
    </w:pPr>
    <w:rPr>
      <w:lang w:val="en-GB"/>
    </w:rPr>
  </w:style>
  <w:style w:type="paragraph" w:customStyle="1" w:styleId="CMSExhibit1">
    <w:name w:val="CMS Exhibit 1"/>
    <w:basedOn w:val="Standard"/>
    <w:next w:val="Standard"/>
    <w:qFormat/>
    <w:rsid w:val="00B27832"/>
    <w:pPr>
      <w:pageBreakBefore/>
      <w:numPr>
        <w:numId w:val="17"/>
      </w:numPr>
      <w:spacing w:before="180"/>
      <w:jc w:val="center"/>
    </w:pPr>
    <w:rPr>
      <w:b/>
    </w:rPr>
  </w:style>
  <w:style w:type="paragraph" w:customStyle="1" w:styleId="CMSExhibit2">
    <w:name w:val="CMS Exhibit 2"/>
    <w:basedOn w:val="Standard"/>
    <w:next w:val="Standard"/>
    <w:qFormat/>
    <w:rsid w:val="00B27832"/>
    <w:pPr>
      <w:numPr>
        <w:ilvl w:val="1"/>
        <w:numId w:val="17"/>
      </w:numPr>
      <w:spacing w:before="180"/>
      <w:jc w:val="center"/>
    </w:pPr>
    <w:rPr>
      <w:b/>
    </w:rPr>
  </w:style>
  <w:style w:type="paragraph" w:customStyle="1" w:styleId="CMSExhibit3">
    <w:name w:val="CMS Exhibit 3"/>
    <w:basedOn w:val="Standard"/>
    <w:next w:val="Standard"/>
    <w:qFormat/>
    <w:rsid w:val="00B27832"/>
    <w:pPr>
      <w:numPr>
        <w:ilvl w:val="2"/>
        <w:numId w:val="17"/>
      </w:numPr>
      <w:spacing w:before="180"/>
      <w:jc w:val="center"/>
    </w:pPr>
    <w:rPr>
      <w:b/>
    </w:rPr>
  </w:style>
  <w:style w:type="paragraph" w:customStyle="1" w:styleId="CMSExhibit4">
    <w:name w:val="CMS Exhibit 4"/>
    <w:basedOn w:val="Standard"/>
    <w:next w:val="Standard"/>
    <w:semiHidden/>
    <w:rsid w:val="00B27832"/>
    <w:pPr>
      <w:numPr>
        <w:ilvl w:val="3"/>
        <w:numId w:val="17"/>
      </w:numPr>
      <w:spacing w:before="180"/>
      <w:jc w:val="both"/>
    </w:pPr>
  </w:style>
  <w:style w:type="paragraph" w:customStyle="1" w:styleId="CMSExhibit5">
    <w:name w:val="CMS Exhibit 5"/>
    <w:basedOn w:val="Standard"/>
    <w:qFormat/>
    <w:rsid w:val="00B27832"/>
    <w:pPr>
      <w:numPr>
        <w:ilvl w:val="4"/>
        <w:numId w:val="17"/>
      </w:numPr>
      <w:spacing w:before="180"/>
      <w:jc w:val="both"/>
    </w:pPr>
  </w:style>
  <w:style w:type="paragraph" w:customStyle="1" w:styleId="CMSExhibit6">
    <w:name w:val="CMS Exhibit 6"/>
    <w:basedOn w:val="Standard"/>
    <w:qFormat/>
    <w:rsid w:val="00B27832"/>
    <w:pPr>
      <w:numPr>
        <w:ilvl w:val="5"/>
        <w:numId w:val="17"/>
      </w:numPr>
      <w:spacing w:before="180"/>
      <w:jc w:val="both"/>
    </w:pPr>
  </w:style>
  <w:style w:type="paragraph" w:customStyle="1" w:styleId="CMSExhibit7">
    <w:name w:val="CMS Exhibit 7"/>
    <w:basedOn w:val="Standard"/>
    <w:qFormat/>
    <w:rsid w:val="00414C09"/>
    <w:pPr>
      <w:spacing w:before="180"/>
      <w:ind w:left="567"/>
      <w:jc w:val="both"/>
    </w:pPr>
  </w:style>
  <w:style w:type="paragraph" w:customStyle="1" w:styleId="CMSExhibit8">
    <w:name w:val="CMS Exhibit 8"/>
    <w:basedOn w:val="Standard"/>
    <w:qFormat/>
    <w:rsid w:val="00B27832"/>
    <w:pPr>
      <w:numPr>
        <w:ilvl w:val="7"/>
        <w:numId w:val="17"/>
      </w:numPr>
      <w:spacing w:before="180"/>
      <w:jc w:val="both"/>
    </w:pPr>
  </w:style>
  <w:style w:type="paragraph" w:customStyle="1" w:styleId="CMSExhibit9">
    <w:name w:val="CMS Exhibit 9"/>
    <w:basedOn w:val="Standard"/>
    <w:semiHidden/>
    <w:rsid w:val="00B27832"/>
    <w:pPr>
      <w:numPr>
        <w:ilvl w:val="8"/>
        <w:numId w:val="17"/>
      </w:numPr>
      <w:spacing w:before="180"/>
      <w:jc w:val="both"/>
    </w:pPr>
  </w:style>
  <w:style w:type="paragraph" w:customStyle="1" w:styleId="CMSFirst">
    <w:name w:val="CMS First"/>
    <w:basedOn w:val="Standard"/>
    <w:qFormat/>
    <w:rsid w:val="00B27832"/>
    <w:pPr>
      <w:numPr>
        <w:numId w:val="18"/>
      </w:numPr>
    </w:pPr>
  </w:style>
  <w:style w:type="paragraph" w:customStyle="1" w:styleId="CMSHeading1">
    <w:name w:val="CMS Heading 1"/>
    <w:basedOn w:val="Standard"/>
    <w:next w:val="CMSIndent1"/>
    <w:qFormat/>
    <w:rsid w:val="00B27832"/>
    <w:pPr>
      <w:keepNext/>
      <w:numPr>
        <w:numId w:val="19"/>
      </w:numPr>
      <w:spacing w:before="480"/>
      <w:outlineLvl w:val="0"/>
    </w:pPr>
    <w:rPr>
      <w:rFonts w:asciiTheme="majorHAnsi" w:hAnsiTheme="majorHAnsi"/>
      <w:b/>
    </w:rPr>
  </w:style>
  <w:style w:type="paragraph" w:customStyle="1" w:styleId="CMSHeading2">
    <w:name w:val="CMS Heading 2"/>
    <w:basedOn w:val="Standard"/>
    <w:next w:val="CMSIndent2"/>
    <w:qFormat/>
    <w:rsid w:val="00C40B09"/>
    <w:pPr>
      <w:numPr>
        <w:ilvl w:val="1"/>
        <w:numId w:val="19"/>
      </w:numPr>
      <w:outlineLvl w:val="1"/>
    </w:pPr>
    <w:rPr>
      <w:rFonts w:asciiTheme="majorHAnsi" w:hAnsiTheme="majorHAnsi"/>
      <w:b/>
    </w:rPr>
  </w:style>
  <w:style w:type="paragraph" w:customStyle="1" w:styleId="CMSHeading3">
    <w:name w:val="CMS Heading 3"/>
    <w:basedOn w:val="Standard"/>
    <w:next w:val="CMSIndent3"/>
    <w:qFormat/>
    <w:rsid w:val="00634B19"/>
    <w:pPr>
      <w:numPr>
        <w:ilvl w:val="2"/>
        <w:numId w:val="19"/>
      </w:numPr>
      <w:outlineLvl w:val="2"/>
    </w:pPr>
    <w:rPr>
      <w:rFonts w:asciiTheme="majorHAnsi" w:hAnsiTheme="majorHAnsi"/>
      <w:b/>
    </w:rPr>
  </w:style>
  <w:style w:type="paragraph" w:customStyle="1" w:styleId="CMSHeading4">
    <w:name w:val="CMS Heading 4"/>
    <w:basedOn w:val="Standard"/>
    <w:qFormat/>
    <w:rsid w:val="00B27832"/>
    <w:pPr>
      <w:numPr>
        <w:ilvl w:val="3"/>
        <w:numId w:val="19"/>
      </w:numPr>
      <w:outlineLvl w:val="3"/>
    </w:pPr>
    <w:rPr>
      <w:rFonts w:asciiTheme="majorHAnsi" w:hAnsiTheme="majorHAnsi"/>
    </w:rPr>
  </w:style>
  <w:style w:type="paragraph" w:customStyle="1" w:styleId="CMSHeading5">
    <w:name w:val="CMS Heading 5"/>
    <w:basedOn w:val="Standard"/>
    <w:qFormat/>
    <w:rsid w:val="00B27832"/>
    <w:pPr>
      <w:numPr>
        <w:ilvl w:val="4"/>
        <w:numId w:val="19"/>
      </w:numPr>
      <w:outlineLvl w:val="4"/>
    </w:pPr>
    <w:rPr>
      <w:rFonts w:asciiTheme="majorHAnsi" w:hAnsiTheme="majorHAnsi"/>
    </w:rPr>
  </w:style>
  <w:style w:type="paragraph" w:customStyle="1" w:styleId="CMSHeading6">
    <w:name w:val="CMS Heading 6"/>
    <w:basedOn w:val="Standard"/>
    <w:qFormat/>
    <w:rsid w:val="00B27832"/>
    <w:pPr>
      <w:numPr>
        <w:ilvl w:val="5"/>
        <w:numId w:val="19"/>
      </w:numPr>
      <w:outlineLvl w:val="5"/>
    </w:pPr>
    <w:rPr>
      <w:rFonts w:asciiTheme="majorHAnsi" w:hAnsiTheme="majorHAnsi"/>
    </w:rPr>
  </w:style>
  <w:style w:type="paragraph" w:customStyle="1" w:styleId="CMSHeading7">
    <w:name w:val="CMS Heading 7"/>
    <w:basedOn w:val="Standard"/>
    <w:qFormat/>
    <w:rsid w:val="00B27832"/>
    <w:pPr>
      <w:numPr>
        <w:ilvl w:val="6"/>
        <w:numId w:val="19"/>
      </w:numPr>
      <w:outlineLvl w:val="6"/>
    </w:pPr>
    <w:rPr>
      <w:rFonts w:asciiTheme="majorHAnsi" w:hAnsiTheme="majorHAnsi"/>
    </w:rPr>
  </w:style>
  <w:style w:type="paragraph" w:customStyle="1" w:styleId="CMSHeading8">
    <w:name w:val="CMS Heading 8"/>
    <w:basedOn w:val="Standard"/>
    <w:next w:val="CMSIndent8"/>
    <w:semiHidden/>
    <w:rsid w:val="00B27832"/>
    <w:pPr>
      <w:keepNext/>
      <w:keepLines/>
      <w:numPr>
        <w:ilvl w:val="7"/>
        <w:numId w:val="19"/>
      </w:numPr>
      <w:spacing w:after="200"/>
      <w:outlineLvl w:val="7"/>
    </w:pPr>
  </w:style>
  <w:style w:type="paragraph" w:customStyle="1" w:styleId="CMSHeading9">
    <w:name w:val="CMS Heading 9"/>
    <w:basedOn w:val="Standard"/>
    <w:next w:val="CMSIndent9"/>
    <w:semiHidden/>
    <w:rsid w:val="00B27832"/>
    <w:pPr>
      <w:keepNext/>
      <w:keepLines/>
      <w:numPr>
        <w:ilvl w:val="8"/>
        <w:numId w:val="19"/>
      </w:numPr>
      <w:spacing w:after="200"/>
      <w:outlineLvl w:val="8"/>
    </w:pPr>
  </w:style>
  <w:style w:type="paragraph" w:customStyle="1" w:styleId="CMSIndent1">
    <w:name w:val="CMS Indent 1"/>
    <w:basedOn w:val="Standard"/>
    <w:qFormat/>
    <w:rsid w:val="00B27832"/>
    <w:pPr>
      <w:ind w:left="567"/>
    </w:pPr>
  </w:style>
  <w:style w:type="paragraph" w:customStyle="1" w:styleId="CMSIndent2">
    <w:name w:val="CMS Indent 2"/>
    <w:basedOn w:val="Standard"/>
    <w:qFormat/>
    <w:rsid w:val="00504848"/>
  </w:style>
  <w:style w:type="paragraph" w:customStyle="1" w:styleId="CMSIndent3">
    <w:name w:val="CMS Indent 3"/>
    <w:basedOn w:val="Standard"/>
    <w:qFormat/>
    <w:rsid w:val="00B27832"/>
    <w:pPr>
      <w:ind w:left="567"/>
    </w:pPr>
  </w:style>
  <w:style w:type="paragraph" w:customStyle="1" w:styleId="CMSIndent4">
    <w:name w:val="CMS Indent 4"/>
    <w:basedOn w:val="Standard"/>
    <w:qFormat/>
    <w:rsid w:val="00B27832"/>
    <w:pPr>
      <w:ind w:left="1134"/>
    </w:pPr>
  </w:style>
  <w:style w:type="paragraph" w:customStyle="1" w:styleId="CMSIndent5">
    <w:name w:val="CMS Indent 5"/>
    <w:basedOn w:val="Standard"/>
    <w:qFormat/>
    <w:rsid w:val="00B27832"/>
    <w:pPr>
      <w:ind w:left="1701"/>
    </w:pPr>
  </w:style>
  <w:style w:type="paragraph" w:customStyle="1" w:styleId="CMSIndent6">
    <w:name w:val="CMS Indent 6"/>
    <w:basedOn w:val="Standard"/>
    <w:qFormat/>
    <w:rsid w:val="00B27832"/>
    <w:pPr>
      <w:ind w:left="2268"/>
    </w:pPr>
  </w:style>
  <w:style w:type="paragraph" w:customStyle="1" w:styleId="CMSIndent7">
    <w:name w:val="CMS Indent 7"/>
    <w:basedOn w:val="Standard"/>
    <w:qFormat/>
    <w:rsid w:val="00B27832"/>
    <w:pPr>
      <w:ind w:left="2835"/>
    </w:pPr>
  </w:style>
  <w:style w:type="paragraph" w:customStyle="1" w:styleId="CMSIndent8">
    <w:name w:val="CMS Indent 8"/>
    <w:basedOn w:val="Standard"/>
    <w:semiHidden/>
    <w:rsid w:val="00B27832"/>
    <w:pPr>
      <w:ind w:left="284"/>
    </w:pPr>
  </w:style>
  <w:style w:type="paragraph" w:customStyle="1" w:styleId="CMSIndent9">
    <w:name w:val="CMS Indent 9"/>
    <w:basedOn w:val="Standard"/>
    <w:semiHidden/>
    <w:rsid w:val="00B27832"/>
    <w:pPr>
      <w:ind w:left="284"/>
    </w:pPr>
  </w:style>
  <w:style w:type="paragraph" w:customStyle="1" w:styleId="CMSInternalNote">
    <w:name w:val="CMS Internal Note"/>
    <w:basedOn w:val="Standard"/>
    <w:next w:val="Standard"/>
    <w:qFormat/>
    <w:rsid w:val="00B27832"/>
    <w:pPr>
      <w:numPr>
        <w:numId w:val="20"/>
      </w:numPr>
      <w:pBdr>
        <w:top w:val="single" w:sz="4" w:space="2" w:color="000000" w:shadow="1"/>
        <w:left w:val="single" w:sz="4" w:space="4" w:color="000000" w:shadow="1"/>
        <w:bottom w:val="single" w:sz="4" w:space="4" w:color="000000" w:shadow="1"/>
        <w:right w:val="single" w:sz="4" w:space="4" w:color="000000" w:shadow="1"/>
      </w:pBdr>
      <w:adjustRightInd/>
      <w:snapToGrid/>
    </w:pPr>
    <w:rPr>
      <w:color w:val="FF0000"/>
      <w:lang w:val="en-GB"/>
    </w:rPr>
  </w:style>
  <w:style w:type="paragraph" w:customStyle="1" w:styleId="CMSInternerHinweis">
    <w:name w:val="CMS Interner Hinweis"/>
    <w:basedOn w:val="CMSInternalNote"/>
    <w:next w:val="Standard"/>
    <w:qFormat/>
    <w:rsid w:val="00B27832"/>
    <w:pPr>
      <w:numPr>
        <w:numId w:val="21"/>
      </w:numPr>
    </w:pPr>
    <w:rPr>
      <w:lang w:val="de-DE"/>
    </w:rPr>
  </w:style>
  <w:style w:type="paragraph" w:customStyle="1" w:styleId="CMSNummeration">
    <w:name w:val="CMS Nummeration"/>
    <w:basedOn w:val="Standard"/>
    <w:qFormat/>
    <w:rsid w:val="00B27832"/>
    <w:pPr>
      <w:numPr>
        <w:numId w:val="23"/>
      </w:numPr>
    </w:pPr>
  </w:style>
  <w:style w:type="paragraph" w:customStyle="1" w:styleId="CMSParties">
    <w:name w:val="CMS Parties"/>
    <w:basedOn w:val="Standard"/>
    <w:semiHidden/>
    <w:rsid w:val="00B27832"/>
    <w:pPr>
      <w:numPr>
        <w:numId w:val="9"/>
      </w:numPr>
    </w:pPr>
  </w:style>
  <w:style w:type="paragraph" w:customStyle="1" w:styleId="CMSPreamble">
    <w:name w:val="CMS Preamble"/>
    <w:basedOn w:val="Standard"/>
    <w:semiHidden/>
    <w:qFormat/>
    <w:rsid w:val="00B27832"/>
    <w:pPr>
      <w:spacing w:before="120"/>
      <w:jc w:val="center"/>
    </w:pPr>
    <w:rPr>
      <w:b/>
    </w:rPr>
  </w:style>
  <w:style w:type="paragraph" w:customStyle="1" w:styleId="CMSPreambleA">
    <w:name w:val="CMS Preamble (A)"/>
    <w:basedOn w:val="Standard"/>
    <w:semiHidden/>
    <w:qFormat/>
    <w:rsid w:val="00B27832"/>
    <w:pPr>
      <w:numPr>
        <w:numId w:val="10"/>
      </w:numPr>
      <w:spacing w:before="120"/>
    </w:pPr>
  </w:style>
  <w:style w:type="paragraph" w:customStyle="1" w:styleId="CMSQuote">
    <w:name w:val="CMS Quote"/>
    <w:basedOn w:val="Standard"/>
    <w:next w:val="Standard"/>
    <w:qFormat/>
    <w:rsid w:val="00B27832"/>
    <w:pPr>
      <w:adjustRightInd/>
      <w:snapToGrid/>
      <w:spacing w:after="240"/>
      <w:ind w:left="1134" w:right="1134"/>
      <w:contextualSpacing/>
      <w:jc w:val="both"/>
    </w:pPr>
    <w:rPr>
      <w:i/>
    </w:rPr>
  </w:style>
  <w:style w:type="paragraph" w:customStyle="1" w:styleId="CMSSchedule1">
    <w:name w:val="CMS Schedule 1"/>
    <w:basedOn w:val="Standard"/>
    <w:next w:val="Standard"/>
    <w:qFormat/>
    <w:rsid w:val="00B27832"/>
    <w:pPr>
      <w:pageBreakBefore/>
      <w:numPr>
        <w:numId w:val="26"/>
      </w:numPr>
      <w:spacing w:before="180"/>
      <w:jc w:val="center"/>
    </w:pPr>
    <w:rPr>
      <w:b/>
    </w:rPr>
  </w:style>
  <w:style w:type="paragraph" w:customStyle="1" w:styleId="CMSSchedule2">
    <w:name w:val="CMS Schedule 2"/>
    <w:basedOn w:val="Standard"/>
    <w:next w:val="Standard"/>
    <w:qFormat/>
    <w:rsid w:val="00B27832"/>
    <w:pPr>
      <w:numPr>
        <w:ilvl w:val="1"/>
        <w:numId w:val="26"/>
      </w:numPr>
      <w:spacing w:before="180"/>
      <w:jc w:val="center"/>
    </w:pPr>
    <w:rPr>
      <w:b/>
    </w:rPr>
  </w:style>
  <w:style w:type="paragraph" w:customStyle="1" w:styleId="CMSSchedule3">
    <w:name w:val="CMS Schedule 3"/>
    <w:basedOn w:val="Standard"/>
    <w:next w:val="Standard"/>
    <w:qFormat/>
    <w:rsid w:val="00B27832"/>
    <w:pPr>
      <w:numPr>
        <w:ilvl w:val="2"/>
        <w:numId w:val="26"/>
      </w:numPr>
      <w:spacing w:before="180"/>
      <w:jc w:val="center"/>
    </w:pPr>
    <w:rPr>
      <w:b/>
    </w:rPr>
  </w:style>
  <w:style w:type="paragraph" w:customStyle="1" w:styleId="CMSSchedule4">
    <w:name w:val="CMS Schedule 4"/>
    <w:basedOn w:val="Standard"/>
    <w:semiHidden/>
    <w:rsid w:val="00B27832"/>
    <w:pPr>
      <w:numPr>
        <w:ilvl w:val="3"/>
        <w:numId w:val="26"/>
      </w:numPr>
      <w:spacing w:before="180"/>
      <w:jc w:val="both"/>
    </w:pPr>
  </w:style>
  <w:style w:type="paragraph" w:customStyle="1" w:styleId="CMSSchedule5">
    <w:name w:val="CMS Schedule 5"/>
    <w:basedOn w:val="Standard"/>
    <w:qFormat/>
    <w:rsid w:val="00B27832"/>
    <w:pPr>
      <w:numPr>
        <w:ilvl w:val="4"/>
        <w:numId w:val="26"/>
      </w:numPr>
      <w:spacing w:before="180"/>
      <w:jc w:val="both"/>
    </w:pPr>
  </w:style>
  <w:style w:type="paragraph" w:customStyle="1" w:styleId="CMSSchedule6">
    <w:name w:val="CMS Schedule 6"/>
    <w:basedOn w:val="Standard"/>
    <w:qFormat/>
    <w:rsid w:val="00B27832"/>
    <w:pPr>
      <w:numPr>
        <w:ilvl w:val="5"/>
        <w:numId w:val="26"/>
      </w:numPr>
      <w:spacing w:before="180"/>
      <w:jc w:val="both"/>
    </w:pPr>
  </w:style>
  <w:style w:type="paragraph" w:customStyle="1" w:styleId="CMSSchedule7">
    <w:name w:val="CMS Schedule 7"/>
    <w:basedOn w:val="Standard"/>
    <w:qFormat/>
    <w:rsid w:val="00B27832"/>
    <w:pPr>
      <w:numPr>
        <w:ilvl w:val="6"/>
        <w:numId w:val="26"/>
      </w:numPr>
      <w:spacing w:before="180"/>
      <w:jc w:val="both"/>
    </w:pPr>
  </w:style>
  <w:style w:type="paragraph" w:customStyle="1" w:styleId="CMSSchedule8">
    <w:name w:val="CMS Schedule 8"/>
    <w:basedOn w:val="Standard"/>
    <w:qFormat/>
    <w:rsid w:val="00B27832"/>
    <w:pPr>
      <w:numPr>
        <w:ilvl w:val="7"/>
        <w:numId w:val="26"/>
      </w:numPr>
      <w:spacing w:before="180"/>
      <w:jc w:val="both"/>
    </w:pPr>
  </w:style>
  <w:style w:type="paragraph" w:customStyle="1" w:styleId="CMSSchedule9">
    <w:name w:val="CMS Schedule 9"/>
    <w:basedOn w:val="Standard"/>
    <w:semiHidden/>
    <w:rsid w:val="00B27832"/>
    <w:pPr>
      <w:numPr>
        <w:ilvl w:val="8"/>
        <w:numId w:val="26"/>
      </w:numPr>
      <w:spacing w:before="180"/>
      <w:jc w:val="both"/>
    </w:pPr>
  </w:style>
  <w:style w:type="paragraph" w:customStyle="1" w:styleId="CMSSection">
    <w:name w:val="CMS Section"/>
    <w:basedOn w:val="Standard"/>
    <w:next w:val="Standard"/>
    <w:semiHidden/>
    <w:qFormat/>
    <w:rsid w:val="00B27832"/>
    <w:pPr>
      <w:jc w:val="center"/>
    </w:pPr>
    <w:rPr>
      <w:b/>
      <w:caps/>
    </w:rPr>
  </w:style>
  <w:style w:type="paragraph" w:customStyle="1" w:styleId="CMSSource">
    <w:name w:val="CMS Source"/>
    <w:basedOn w:val="Standard"/>
    <w:next w:val="Standard"/>
    <w:qFormat/>
    <w:rsid w:val="00B27832"/>
    <w:pPr>
      <w:adjustRightInd/>
      <w:snapToGrid/>
      <w:spacing w:after="240"/>
      <w:ind w:left="1134" w:right="1134"/>
    </w:pPr>
  </w:style>
  <w:style w:type="numbering" w:customStyle="1" w:styleId="CMS-Anmerkung">
    <w:name w:val="CMS-Anmerkung"/>
    <w:basedOn w:val="KeineListe"/>
    <w:uiPriority w:val="99"/>
    <w:rsid w:val="00B27832"/>
    <w:pPr>
      <w:numPr>
        <w:numId w:val="11"/>
      </w:numPr>
    </w:pPr>
  </w:style>
  <w:style w:type="numbering" w:customStyle="1" w:styleId="CMS-Dash">
    <w:name w:val="CMS-Dash"/>
    <w:semiHidden/>
    <w:rsid w:val="00B27832"/>
    <w:pPr>
      <w:numPr>
        <w:numId w:val="13"/>
      </w:numPr>
    </w:pPr>
  </w:style>
  <w:style w:type="numbering" w:customStyle="1" w:styleId="CMS-Definitions">
    <w:name w:val="CMS-Definitions"/>
    <w:rsid w:val="00B27832"/>
    <w:pPr>
      <w:numPr>
        <w:numId w:val="14"/>
      </w:numPr>
    </w:pPr>
  </w:style>
  <w:style w:type="numbering" w:customStyle="1" w:styleId="CMS-Exhibit">
    <w:name w:val="CMS-Exhibit"/>
    <w:rsid w:val="00B27832"/>
    <w:pPr>
      <w:numPr>
        <w:numId w:val="17"/>
      </w:numPr>
    </w:pPr>
  </w:style>
  <w:style w:type="numbering" w:customStyle="1" w:styleId="CMS-Heading">
    <w:name w:val="CMS-Heading"/>
    <w:rsid w:val="00B27832"/>
    <w:pPr>
      <w:numPr>
        <w:numId w:val="37"/>
      </w:numPr>
    </w:pPr>
  </w:style>
  <w:style w:type="numbering" w:customStyle="1" w:styleId="CMS-InternalNote">
    <w:name w:val="CMS-Internal Note"/>
    <w:uiPriority w:val="99"/>
    <w:rsid w:val="00B27832"/>
    <w:pPr>
      <w:numPr>
        <w:numId w:val="20"/>
      </w:numPr>
    </w:pPr>
  </w:style>
  <w:style w:type="numbering" w:customStyle="1" w:styleId="CMS-InternerHinweis">
    <w:name w:val="CMS-Interner Hinweis"/>
    <w:basedOn w:val="CMS-InternalNote"/>
    <w:uiPriority w:val="99"/>
    <w:rsid w:val="00B27832"/>
    <w:pPr>
      <w:numPr>
        <w:numId w:val="21"/>
      </w:numPr>
    </w:pPr>
  </w:style>
  <w:style w:type="numbering" w:customStyle="1" w:styleId="CMS-Note">
    <w:name w:val="CMS-Note"/>
    <w:basedOn w:val="KeineListe"/>
    <w:uiPriority w:val="99"/>
    <w:rsid w:val="00B27832"/>
    <w:pPr>
      <w:numPr>
        <w:numId w:val="22"/>
      </w:numPr>
    </w:pPr>
  </w:style>
  <w:style w:type="numbering" w:customStyle="1" w:styleId="CMS-Nummeration">
    <w:name w:val="CMS-Nummeration"/>
    <w:semiHidden/>
    <w:rsid w:val="00B27832"/>
    <w:pPr>
      <w:numPr>
        <w:numId w:val="23"/>
      </w:numPr>
    </w:pPr>
  </w:style>
  <w:style w:type="numbering" w:customStyle="1" w:styleId="CMS-Schedule">
    <w:name w:val="CMS-Schedule"/>
    <w:rsid w:val="00B27832"/>
    <w:pPr>
      <w:numPr>
        <w:numId w:val="26"/>
      </w:numPr>
    </w:pPr>
  </w:style>
  <w:style w:type="paragraph" w:styleId="Datum">
    <w:name w:val="Date"/>
    <w:basedOn w:val="Standard"/>
    <w:next w:val="Standard"/>
    <w:link w:val="DatumZchn"/>
    <w:semiHidden/>
    <w:rsid w:val="00B27832"/>
  </w:style>
  <w:style w:type="character" w:customStyle="1" w:styleId="DatumZchn">
    <w:name w:val="Datum Zchn"/>
    <w:basedOn w:val="Absatz-Standardschriftart"/>
    <w:link w:val="Datum"/>
    <w:semiHidden/>
    <w:rsid w:val="00B27832"/>
  </w:style>
  <w:style w:type="paragraph" w:styleId="E-Mail-Signatur">
    <w:name w:val="E-mail Signature"/>
    <w:basedOn w:val="Standard"/>
    <w:link w:val="E-Mail-SignaturZchn"/>
    <w:semiHidden/>
    <w:rsid w:val="00B27832"/>
  </w:style>
  <w:style w:type="character" w:customStyle="1" w:styleId="E-Mail-SignaturZchn">
    <w:name w:val="E-Mail-Signatur Zchn"/>
    <w:basedOn w:val="Absatz-Standardschriftart"/>
    <w:link w:val="E-Mail-Signatur"/>
    <w:semiHidden/>
    <w:rsid w:val="00B27832"/>
  </w:style>
  <w:style w:type="character" w:styleId="Fett">
    <w:name w:val="Strong"/>
    <w:basedOn w:val="Absatz-Standardschriftart"/>
    <w:uiPriority w:val="22"/>
    <w:qFormat/>
    <w:rsid w:val="00B27832"/>
    <w:rPr>
      <w:b/>
      <w:bCs/>
    </w:rPr>
  </w:style>
  <w:style w:type="paragraph" w:styleId="Fu-Endnotenberschrift">
    <w:name w:val="Note Heading"/>
    <w:basedOn w:val="Standard"/>
    <w:next w:val="Standard"/>
    <w:link w:val="Fu-EndnotenberschriftZchn"/>
    <w:semiHidden/>
    <w:rsid w:val="00B27832"/>
  </w:style>
  <w:style w:type="character" w:customStyle="1" w:styleId="Fu-EndnotenberschriftZchn">
    <w:name w:val="Fuß/-Endnotenüberschrift Zchn"/>
    <w:basedOn w:val="Absatz-Standardschriftart"/>
    <w:link w:val="Fu-Endnotenberschrift"/>
    <w:semiHidden/>
    <w:rsid w:val="00B27832"/>
  </w:style>
  <w:style w:type="paragraph" w:styleId="Fuzeile">
    <w:name w:val="footer"/>
    <w:basedOn w:val="Standard"/>
    <w:link w:val="FuzeileZchn"/>
    <w:uiPriority w:val="99"/>
    <w:rsid w:val="00B27832"/>
    <w:pPr>
      <w:tabs>
        <w:tab w:val="center" w:pos="4535"/>
        <w:tab w:val="right" w:pos="9071"/>
      </w:tabs>
    </w:pPr>
    <w:rPr>
      <w:rFonts w:cstheme="minorHAnsi"/>
      <w:sz w:val="18"/>
      <w:szCs w:val="16"/>
    </w:rPr>
  </w:style>
  <w:style w:type="character" w:customStyle="1" w:styleId="FuzeileZchn">
    <w:name w:val="Fußzeile Zchn"/>
    <w:basedOn w:val="Absatz-Standardschriftart"/>
    <w:link w:val="Fuzeile"/>
    <w:uiPriority w:val="99"/>
    <w:rsid w:val="00B27832"/>
    <w:rPr>
      <w:rFonts w:cstheme="minorHAnsi"/>
      <w:sz w:val="18"/>
      <w:szCs w:val="16"/>
    </w:rPr>
  </w:style>
  <w:style w:type="paragraph" w:styleId="Gruformel">
    <w:name w:val="Closing"/>
    <w:basedOn w:val="Standard"/>
    <w:link w:val="GruformelZchn"/>
    <w:semiHidden/>
    <w:rsid w:val="00B27832"/>
    <w:pPr>
      <w:ind w:left="4252"/>
    </w:pPr>
  </w:style>
  <w:style w:type="character" w:customStyle="1" w:styleId="GruformelZchn">
    <w:name w:val="Grußformel Zchn"/>
    <w:basedOn w:val="Absatz-Standardschriftart"/>
    <w:link w:val="Gruformel"/>
    <w:semiHidden/>
    <w:rsid w:val="00B27832"/>
  </w:style>
  <w:style w:type="character" w:styleId="Hervorhebung">
    <w:name w:val="Emphasis"/>
    <w:basedOn w:val="Absatz-Standardschriftart"/>
    <w:semiHidden/>
    <w:rsid w:val="00B27832"/>
    <w:rPr>
      <w:i/>
      <w:iCs/>
    </w:rPr>
  </w:style>
  <w:style w:type="paragraph" w:styleId="HTMLAdresse">
    <w:name w:val="HTML Address"/>
    <w:basedOn w:val="Standard"/>
    <w:link w:val="HTMLAdresseZchn"/>
    <w:semiHidden/>
    <w:rsid w:val="00B27832"/>
    <w:rPr>
      <w:i/>
      <w:iCs/>
    </w:rPr>
  </w:style>
  <w:style w:type="character" w:customStyle="1" w:styleId="HTMLAdresseZchn">
    <w:name w:val="HTML Adresse Zchn"/>
    <w:basedOn w:val="Absatz-Standardschriftart"/>
    <w:link w:val="HTMLAdresse"/>
    <w:semiHidden/>
    <w:rsid w:val="00B27832"/>
    <w:rPr>
      <w:i/>
      <w:iCs/>
    </w:rPr>
  </w:style>
  <w:style w:type="character" w:styleId="HTMLAkronym">
    <w:name w:val="HTML Acronym"/>
    <w:basedOn w:val="Absatz-Standardschriftart"/>
    <w:semiHidden/>
    <w:rsid w:val="00B27832"/>
  </w:style>
  <w:style w:type="character" w:styleId="HTMLBeispiel">
    <w:name w:val="HTML Sample"/>
    <w:basedOn w:val="Absatz-Standardschriftart"/>
    <w:semiHidden/>
    <w:rsid w:val="00B27832"/>
    <w:rPr>
      <w:rFonts w:ascii="Courier New" w:hAnsi="Courier New" w:cs="Courier New"/>
    </w:rPr>
  </w:style>
  <w:style w:type="character" w:styleId="HTMLCode">
    <w:name w:val="HTML Code"/>
    <w:basedOn w:val="Absatz-Standardschriftart"/>
    <w:semiHidden/>
    <w:rsid w:val="00B27832"/>
    <w:rPr>
      <w:rFonts w:ascii="Courier New" w:hAnsi="Courier New" w:cs="Courier New"/>
      <w:sz w:val="20"/>
      <w:szCs w:val="20"/>
    </w:rPr>
  </w:style>
  <w:style w:type="character" w:styleId="HTMLDefinition">
    <w:name w:val="HTML Definition"/>
    <w:basedOn w:val="Absatz-Standardschriftart"/>
    <w:semiHidden/>
    <w:rsid w:val="00B27832"/>
    <w:rPr>
      <w:i/>
      <w:iCs/>
    </w:rPr>
  </w:style>
  <w:style w:type="character" w:styleId="HTMLSchreibmaschine">
    <w:name w:val="HTML Typewriter"/>
    <w:basedOn w:val="Absatz-Standardschriftart"/>
    <w:semiHidden/>
    <w:rsid w:val="00B27832"/>
    <w:rPr>
      <w:rFonts w:ascii="Courier New" w:hAnsi="Courier New" w:cs="Courier New"/>
      <w:sz w:val="20"/>
      <w:szCs w:val="20"/>
    </w:rPr>
  </w:style>
  <w:style w:type="character" w:styleId="HTMLTastatur">
    <w:name w:val="HTML Keyboard"/>
    <w:basedOn w:val="Absatz-Standardschriftart"/>
    <w:semiHidden/>
    <w:rsid w:val="00B27832"/>
    <w:rPr>
      <w:rFonts w:ascii="Courier New" w:hAnsi="Courier New" w:cs="Courier New"/>
      <w:sz w:val="20"/>
      <w:szCs w:val="20"/>
    </w:rPr>
  </w:style>
  <w:style w:type="character" w:styleId="HTMLVariable">
    <w:name w:val="HTML Variable"/>
    <w:basedOn w:val="Absatz-Standardschriftart"/>
    <w:semiHidden/>
    <w:rsid w:val="00B27832"/>
    <w:rPr>
      <w:i/>
      <w:iCs/>
    </w:rPr>
  </w:style>
  <w:style w:type="paragraph" w:styleId="HTMLVorformatiert">
    <w:name w:val="HTML Preformatted"/>
    <w:basedOn w:val="Standard"/>
    <w:link w:val="HTMLVorformatiertZchn"/>
    <w:semiHidden/>
    <w:rsid w:val="00B27832"/>
    <w:rPr>
      <w:rFonts w:ascii="Courier New" w:hAnsi="Courier New" w:cs="Courier New"/>
      <w:szCs w:val="20"/>
    </w:rPr>
  </w:style>
  <w:style w:type="character" w:customStyle="1" w:styleId="HTMLVorformatiertZchn">
    <w:name w:val="HTML Vorformatiert Zchn"/>
    <w:basedOn w:val="Absatz-Standardschriftart"/>
    <w:link w:val="HTMLVorformatiert"/>
    <w:semiHidden/>
    <w:rsid w:val="00B27832"/>
    <w:rPr>
      <w:rFonts w:ascii="Courier New" w:hAnsi="Courier New" w:cs="Courier New"/>
      <w:szCs w:val="20"/>
    </w:rPr>
  </w:style>
  <w:style w:type="character" w:styleId="HTMLZitat">
    <w:name w:val="HTML Cite"/>
    <w:basedOn w:val="Absatz-Standardschriftart"/>
    <w:semiHidden/>
    <w:rsid w:val="00B27832"/>
    <w:rPr>
      <w:i/>
      <w:iCs/>
    </w:rPr>
  </w:style>
  <w:style w:type="character" w:styleId="Hyperlink">
    <w:name w:val="Hyperlink"/>
    <w:basedOn w:val="Absatz-Standardschriftart"/>
    <w:uiPriority w:val="99"/>
    <w:rsid w:val="00B27832"/>
    <w:rPr>
      <w:color w:val="0000FF"/>
      <w:u w:val="single"/>
    </w:rPr>
  </w:style>
  <w:style w:type="paragraph" w:styleId="Kopfzeile">
    <w:name w:val="header"/>
    <w:basedOn w:val="Standard"/>
    <w:link w:val="KopfzeileZchn"/>
    <w:semiHidden/>
    <w:rsid w:val="000C4AF1"/>
    <w:pPr>
      <w:tabs>
        <w:tab w:val="center" w:pos="4535"/>
        <w:tab w:val="right" w:pos="9071"/>
      </w:tabs>
    </w:pPr>
    <w:rPr>
      <w:rFonts w:cstheme="minorHAnsi"/>
      <w:sz w:val="18"/>
    </w:rPr>
  </w:style>
  <w:style w:type="character" w:customStyle="1" w:styleId="KopfzeileZchn">
    <w:name w:val="Kopfzeile Zchn"/>
    <w:basedOn w:val="Absatz-Standardschriftart"/>
    <w:link w:val="Kopfzeile"/>
    <w:semiHidden/>
    <w:rsid w:val="000C4AF1"/>
    <w:rPr>
      <w:rFonts w:cstheme="minorHAnsi"/>
      <w:sz w:val="18"/>
    </w:rPr>
  </w:style>
  <w:style w:type="paragraph" w:styleId="Liste">
    <w:name w:val="List"/>
    <w:basedOn w:val="Standard"/>
    <w:semiHidden/>
    <w:rsid w:val="00B27832"/>
    <w:pPr>
      <w:ind w:left="283" w:hanging="283"/>
    </w:pPr>
  </w:style>
  <w:style w:type="paragraph" w:styleId="Liste2">
    <w:name w:val="List 2"/>
    <w:basedOn w:val="Standard"/>
    <w:semiHidden/>
    <w:rsid w:val="00B27832"/>
    <w:pPr>
      <w:ind w:left="566" w:hanging="283"/>
    </w:pPr>
  </w:style>
  <w:style w:type="paragraph" w:styleId="Liste3">
    <w:name w:val="List 3"/>
    <w:basedOn w:val="Standard"/>
    <w:semiHidden/>
    <w:rsid w:val="00B27832"/>
    <w:pPr>
      <w:ind w:left="849" w:hanging="283"/>
    </w:pPr>
  </w:style>
  <w:style w:type="paragraph" w:styleId="Liste4">
    <w:name w:val="List 4"/>
    <w:basedOn w:val="Standard"/>
    <w:semiHidden/>
    <w:rsid w:val="00B27832"/>
    <w:pPr>
      <w:ind w:left="1132" w:hanging="283"/>
    </w:pPr>
  </w:style>
  <w:style w:type="paragraph" w:styleId="Liste5">
    <w:name w:val="List 5"/>
    <w:basedOn w:val="Standard"/>
    <w:semiHidden/>
    <w:rsid w:val="00B27832"/>
    <w:pPr>
      <w:ind w:left="1415" w:hanging="283"/>
    </w:pPr>
  </w:style>
  <w:style w:type="paragraph" w:styleId="Listenfortsetzung">
    <w:name w:val="List Continue"/>
    <w:basedOn w:val="Standard"/>
    <w:semiHidden/>
    <w:rsid w:val="00B27832"/>
    <w:pPr>
      <w:ind w:left="283"/>
    </w:pPr>
  </w:style>
  <w:style w:type="paragraph" w:styleId="Listenfortsetzung2">
    <w:name w:val="List Continue 2"/>
    <w:basedOn w:val="Standard"/>
    <w:semiHidden/>
    <w:rsid w:val="00B27832"/>
    <w:pPr>
      <w:ind w:left="566"/>
    </w:pPr>
  </w:style>
  <w:style w:type="paragraph" w:styleId="Listenfortsetzung3">
    <w:name w:val="List Continue 3"/>
    <w:basedOn w:val="Standard"/>
    <w:semiHidden/>
    <w:rsid w:val="00B27832"/>
    <w:pPr>
      <w:ind w:left="849"/>
    </w:pPr>
  </w:style>
  <w:style w:type="paragraph" w:styleId="Listenfortsetzung4">
    <w:name w:val="List Continue 4"/>
    <w:basedOn w:val="Standard"/>
    <w:semiHidden/>
    <w:rsid w:val="00B27832"/>
    <w:pPr>
      <w:ind w:left="1132"/>
    </w:pPr>
  </w:style>
  <w:style w:type="paragraph" w:styleId="Listenfortsetzung5">
    <w:name w:val="List Continue 5"/>
    <w:basedOn w:val="Standard"/>
    <w:semiHidden/>
    <w:rsid w:val="00B27832"/>
    <w:pPr>
      <w:ind w:left="1415"/>
    </w:pPr>
  </w:style>
  <w:style w:type="paragraph" w:styleId="Listennummer">
    <w:name w:val="List Number"/>
    <w:basedOn w:val="Standard"/>
    <w:semiHidden/>
    <w:rsid w:val="00B27832"/>
    <w:pPr>
      <w:numPr>
        <w:numId w:val="28"/>
      </w:numPr>
      <w:tabs>
        <w:tab w:val="left" w:pos="567"/>
      </w:tabs>
    </w:pPr>
  </w:style>
  <w:style w:type="paragraph" w:styleId="Listennummer2">
    <w:name w:val="List Number 2"/>
    <w:basedOn w:val="Standard"/>
    <w:semiHidden/>
    <w:rsid w:val="00B27832"/>
    <w:pPr>
      <w:numPr>
        <w:numId w:val="29"/>
      </w:numPr>
    </w:pPr>
  </w:style>
  <w:style w:type="paragraph" w:styleId="Listennummer3">
    <w:name w:val="List Number 3"/>
    <w:basedOn w:val="Standard"/>
    <w:semiHidden/>
    <w:rsid w:val="00B27832"/>
    <w:pPr>
      <w:numPr>
        <w:numId w:val="30"/>
      </w:numPr>
    </w:pPr>
  </w:style>
  <w:style w:type="paragraph" w:styleId="Listennummer4">
    <w:name w:val="List Number 4"/>
    <w:basedOn w:val="Standard"/>
    <w:semiHidden/>
    <w:rsid w:val="00B27832"/>
    <w:pPr>
      <w:numPr>
        <w:numId w:val="31"/>
      </w:numPr>
    </w:pPr>
  </w:style>
  <w:style w:type="paragraph" w:styleId="Listennummer5">
    <w:name w:val="List Number 5"/>
    <w:basedOn w:val="Standard"/>
    <w:semiHidden/>
    <w:rsid w:val="00B27832"/>
    <w:pPr>
      <w:numPr>
        <w:numId w:val="32"/>
      </w:numPr>
    </w:pPr>
  </w:style>
  <w:style w:type="paragraph" w:styleId="Nachrichtenkopf">
    <w:name w:val="Message Header"/>
    <w:basedOn w:val="Standard"/>
    <w:link w:val="NachrichtenkopfZchn"/>
    <w:semiHidden/>
    <w:rsid w:val="00B27832"/>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NachrichtenkopfZchn">
    <w:name w:val="Nachrichtenkopf Zchn"/>
    <w:basedOn w:val="Absatz-Standardschriftart"/>
    <w:link w:val="Nachrichtenkopf"/>
    <w:semiHidden/>
    <w:rsid w:val="00B27832"/>
    <w:rPr>
      <w:rFonts w:cs="Arial"/>
      <w:shd w:val="pct20" w:color="auto" w:fill="auto"/>
    </w:rPr>
  </w:style>
  <w:style w:type="paragraph" w:styleId="NurText">
    <w:name w:val="Plain Text"/>
    <w:basedOn w:val="Standard"/>
    <w:link w:val="NurTextZchn"/>
    <w:semiHidden/>
    <w:rsid w:val="00B27832"/>
    <w:rPr>
      <w:rFonts w:ascii="Courier New" w:hAnsi="Courier New" w:cs="Courier New"/>
      <w:szCs w:val="20"/>
    </w:rPr>
  </w:style>
  <w:style w:type="character" w:customStyle="1" w:styleId="NurTextZchn">
    <w:name w:val="Nur Text Zchn"/>
    <w:basedOn w:val="Absatz-Standardschriftart"/>
    <w:link w:val="NurText"/>
    <w:semiHidden/>
    <w:rsid w:val="00B27832"/>
    <w:rPr>
      <w:rFonts w:ascii="Courier New" w:hAnsi="Courier New" w:cs="Courier New"/>
      <w:szCs w:val="20"/>
    </w:rPr>
  </w:style>
  <w:style w:type="character" w:styleId="Seitenzahl">
    <w:name w:val="page number"/>
    <w:basedOn w:val="Absatz-Standardschriftart"/>
    <w:semiHidden/>
    <w:rsid w:val="00B27832"/>
  </w:style>
  <w:style w:type="paragraph" w:styleId="Sprechblasentext">
    <w:name w:val="Balloon Text"/>
    <w:basedOn w:val="Standard"/>
    <w:link w:val="SprechblasentextZchn"/>
    <w:semiHidden/>
    <w:rsid w:val="00B27832"/>
    <w:rPr>
      <w:rFonts w:ascii="Tahoma" w:hAnsi="Tahoma" w:cs="Tahoma"/>
      <w:sz w:val="16"/>
      <w:szCs w:val="16"/>
    </w:rPr>
  </w:style>
  <w:style w:type="character" w:customStyle="1" w:styleId="SprechblasentextZchn">
    <w:name w:val="Sprechblasentext Zchn"/>
    <w:basedOn w:val="Absatz-Standardschriftart"/>
    <w:link w:val="Sprechblasentext"/>
    <w:semiHidden/>
    <w:rsid w:val="00B27832"/>
    <w:rPr>
      <w:rFonts w:ascii="Tahoma" w:hAnsi="Tahoma" w:cs="Tahoma"/>
      <w:sz w:val="16"/>
      <w:szCs w:val="16"/>
    </w:rPr>
  </w:style>
  <w:style w:type="paragraph" w:styleId="StandardWeb">
    <w:name w:val="Normal (Web)"/>
    <w:basedOn w:val="Standard"/>
    <w:uiPriority w:val="99"/>
    <w:semiHidden/>
    <w:rsid w:val="00B27832"/>
  </w:style>
  <w:style w:type="paragraph" w:styleId="Standardeinzug">
    <w:name w:val="Normal Indent"/>
    <w:basedOn w:val="Standard"/>
    <w:semiHidden/>
    <w:rsid w:val="00B27832"/>
    <w:pPr>
      <w:ind w:left="567"/>
    </w:pPr>
  </w:style>
  <w:style w:type="table" w:styleId="Tabelle3D-Effekt1">
    <w:name w:val="Table 3D effects 1"/>
    <w:basedOn w:val="NormaleTabelle"/>
    <w:rsid w:val="00B27832"/>
    <w:pPr>
      <w:spacing w:before="180" w:after="120" w:line="300" w:lineRule="atLeast"/>
      <w:jc w:val="both"/>
    </w:pPr>
    <w:rPr>
      <w:lang w:eastAsia="zh-C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rsid w:val="00B27832"/>
    <w:pPr>
      <w:spacing w:before="180" w:after="120" w:line="300" w:lineRule="atLeast"/>
      <w:jc w:val="both"/>
    </w:pPr>
    <w:rPr>
      <w:lang w:eastAsia="zh-C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rsid w:val="00B27832"/>
    <w:pPr>
      <w:spacing w:before="180" w:after="120" w:line="300" w:lineRule="atLeast"/>
      <w:jc w:val="both"/>
    </w:pPr>
    <w:rPr>
      <w:lang w:eastAsia="zh-C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rsid w:val="00B27832"/>
    <w:pPr>
      <w:spacing w:before="180" w:after="120" w:line="300" w:lineRule="atLeast"/>
      <w:jc w:val="both"/>
    </w:pPr>
    <w:rPr>
      <w:lang w:eastAsia="zh-C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rsid w:val="00B27832"/>
    <w:pPr>
      <w:spacing w:before="180" w:after="120" w:line="300" w:lineRule="atLeast"/>
      <w:jc w:val="both"/>
    </w:pPr>
    <w:rPr>
      <w:lang w:eastAsia="zh-C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rsid w:val="00B27832"/>
    <w:pPr>
      <w:spacing w:before="180" w:after="120" w:line="300" w:lineRule="atLeast"/>
      <w:jc w:val="both"/>
    </w:pPr>
    <w:rPr>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rsid w:val="00B27832"/>
    <w:pPr>
      <w:spacing w:before="180" w:after="120" w:line="300" w:lineRule="atLeast"/>
      <w:jc w:val="both"/>
    </w:pPr>
    <w:rPr>
      <w:lang w:eastAsia="zh-C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rsid w:val="00B27832"/>
    <w:pPr>
      <w:spacing w:before="180" w:after="120" w:line="300" w:lineRule="atLeast"/>
      <w:jc w:val="both"/>
    </w:pPr>
    <w:rPr>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rsid w:val="00B27832"/>
    <w:pPr>
      <w:spacing w:before="180" w:after="120" w:line="300" w:lineRule="atLeast"/>
      <w:jc w:val="both"/>
    </w:pPr>
    <w:rPr>
      <w:color w:val="FFFFFF"/>
      <w:lang w:eastAsia="zh-CN"/>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rsid w:val="00B27832"/>
    <w:pPr>
      <w:spacing w:before="180" w:after="120" w:line="300" w:lineRule="atLeast"/>
      <w:jc w:val="both"/>
    </w:pPr>
    <w:rPr>
      <w:lang w:eastAsia="zh-C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rsid w:val="00B27832"/>
    <w:pPr>
      <w:spacing w:before="180" w:after="120" w:line="300" w:lineRule="atLeast"/>
      <w:jc w:val="both"/>
    </w:pPr>
    <w:rPr>
      <w:lang w:eastAsia="zh-C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rsid w:val="00B27832"/>
    <w:pPr>
      <w:spacing w:before="180" w:after="120" w:line="300" w:lineRule="atLeast"/>
      <w:jc w:val="both"/>
    </w:pPr>
    <w:rPr>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rsid w:val="00B27832"/>
    <w:pPr>
      <w:spacing w:before="180" w:after="120" w:line="300" w:lineRule="atLeast"/>
      <w:jc w:val="both"/>
    </w:pPr>
    <w:rPr>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rsid w:val="00B27832"/>
    <w:pPr>
      <w:spacing w:before="180" w:after="120" w:line="300" w:lineRule="atLeast"/>
      <w:jc w:val="both"/>
    </w:pPr>
    <w:rPr>
      <w:color w:val="000080"/>
      <w:lang w:eastAsia="zh-CN"/>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rsid w:val="00B27832"/>
    <w:pPr>
      <w:spacing w:before="180" w:after="120" w:line="300" w:lineRule="atLeast"/>
      <w:jc w:val="both"/>
    </w:pPr>
    <w:rPr>
      <w:lang w:eastAsia="zh-C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rsid w:val="00B27832"/>
    <w:pPr>
      <w:spacing w:before="180" w:after="120" w:line="300" w:lineRule="atLeast"/>
      <w:jc w:val="both"/>
    </w:pPr>
    <w:rPr>
      <w:lang w:eastAsia="zh-C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rsid w:val="00B27832"/>
    <w:pPr>
      <w:spacing w:before="180" w:after="120" w:line="300" w:lineRule="atLeast"/>
      <w:jc w:val="both"/>
    </w:pPr>
    <w:rPr>
      <w:lang w:eastAsia="zh-C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rsid w:val="00B27832"/>
    <w:pPr>
      <w:spacing w:before="180" w:after="120" w:line="300" w:lineRule="atLeast"/>
      <w:jc w:val="both"/>
    </w:pPr>
    <w:rPr>
      <w:lang w:eastAsia="zh-C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rsid w:val="00B27832"/>
    <w:pPr>
      <w:spacing w:before="180" w:after="120" w:line="300" w:lineRule="atLeast"/>
      <w:jc w:val="both"/>
    </w:pPr>
    <w:rPr>
      <w:lang w:eastAsia="zh-C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rsid w:val="00B27832"/>
    <w:pPr>
      <w:spacing w:before="180" w:after="120" w:line="300" w:lineRule="atLeast"/>
      <w:jc w:val="both"/>
    </w:pPr>
    <w:rPr>
      <w:lang w:eastAsia="zh-C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rsid w:val="00B27832"/>
    <w:pPr>
      <w:spacing w:before="180" w:after="120" w:line="300" w:lineRule="atLeast"/>
      <w:jc w:val="both"/>
    </w:pPr>
    <w:rPr>
      <w:lang w:eastAsia="zh-C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rsid w:val="00B27832"/>
    <w:pPr>
      <w:spacing w:before="180" w:after="120" w:line="300" w:lineRule="atLeast"/>
      <w:jc w:val="both"/>
    </w:pPr>
    <w:rPr>
      <w:lang w:eastAsia="zh-C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rsid w:val="00B27832"/>
    <w:pPr>
      <w:spacing w:before="180" w:after="120" w:line="300" w:lineRule="atLeast"/>
      <w:jc w:val="both"/>
    </w:pPr>
    <w:rPr>
      <w:lang w:eastAsia="zh-C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rsid w:val="00B27832"/>
    <w:pPr>
      <w:spacing w:before="180" w:after="120" w:line="300" w:lineRule="atLeast"/>
      <w:jc w:val="both"/>
    </w:pPr>
    <w:rPr>
      <w:lang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rsid w:val="00B27832"/>
    <w:pPr>
      <w:spacing w:before="180" w:after="120" w:line="300" w:lineRule="atLeast"/>
      <w:jc w:val="both"/>
    </w:pPr>
    <w:rPr>
      <w:lang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rsid w:val="00B27832"/>
    <w:pPr>
      <w:spacing w:before="180" w:after="120" w:line="300" w:lineRule="atLeast"/>
      <w:jc w:val="both"/>
    </w:pPr>
    <w:rPr>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rsid w:val="00B27832"/>
    <w:pPr>
      <w:spacing w:before="180" w:after="120" w:line="300" w:lineRule="atLeast"/>
      <w:jc w:val="both"/>
    </w:pPr>
    <w:rPr>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rsid w:val="00B27832"/>
    <w:pPr>
      <w:spacing w:before="180" w:after="120" w:line="300" w:lineRule="atLeast"/>
      <w:jc w:val="both"/>
    </w:pPr>
    <w:rPr>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rsid w:val="00B27832"/>
    <w:pPr>
      <w:spacing w:before="180" w:after="120" w:line="300" w:lineRule="atLeast"/>
      <w:jc w:val="both"/>
    </w:pPr>
    <w:rPr>
      <w:lang w:eastAsia="zh-C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rsid w:val="00B27832"/>
    <w:pPr>
      <w:spacing w:before="180" w:after="120" w:line="300" w:lineRule="atLeast"/>
      <w:jc w:val="both"/>
    </w:pPr>
    <w:rPr>
      <w:lang w:eastAsia="zh-C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rsid w:val="00B27832"/>
    <w:pPr>
      <w:spacing w:before="180" w:after="120" w:line="300" w:lineRule="atLeast"/>
      <w:jc w:val="both"/>
    </w:pPr>
    <w:rPr>
      <w:b/>
      <w:bCs/>
      <w:lang w:eastAsia="zh-C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rsid w:val="00B27832"/>
    <w:pPr>
      <w:spacing w:before="180" w:after="120" w:line="300" w:lineRule="atLeast"/>
      <w:jc w:val="both"/>
    </w:pPr>
    <w:rPr>
      <w:lang w:eastAsia="zh-C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rsid w:val="00B27832"/>
    <w:pPr>
      <w:spacing w:before="180" w:after="120" w:line="300" w:lineRule="atLeast"/>
      <w:jc w:val="both"/>
    </w:pPr>
    <w:rPr>
      <w:b/>
      <w:bCs/>
      <w:lang w:eastAsia="zh-CN"/>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rsid w:val="00B27832"/>
    <w:pPr>
      <w:spacing w:before="180" w:after="120" w:line="300" w:lineRule="atLeast"/>
      <w:jc w:val="both"/>
    </w:pPr>
    <w:rPr>
      <w:b/>
      <w:bCs/>
      <w:lang w:eastAsia="zh-CN"/>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rsid w:val="00B27832"/>
    <w:pPr>
      <w:spacing w:before="180" w:after="120" w:line="300" w:lineRule="atLeast"/>
      <w:jc w:val="both"/>
    </w:pPr>
    <w:rPr>
      <w:b/>
      <w:bCs/>
      <w:lang w:eastAsia="zh-CN"/>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rsid w:val="00B27832"/>
    <w:pPr>
      <w:spacing w:before="180" w:after="120" w:line="300" w:lineRule="atLeast"/>
      <w:jc w:val="both"/>
    </w:pPr>
    <w:rPr>
      <w:lang w:eastAsia="zh-C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rsid w:val="00B27832"/>
    <w:pPr>
      <w:spacing w:before="180" w:after="120" w:line="300" w:lineRule="atLeast"/>
      <w:jc w:val="both"/>
    </w:pPr>
    <w:rPr>
      <w:lang w:eastAsia="zh-C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rsid w:val="00B27832"/>
    <w:pPr>
      <w:spacing w:before="180" w:after="120" w:line="300" w:lineRule="atLeast"/>
      <w:jc w:val="both"/>
    </w:pPr>
    <w:rPr>
      <w:lang w:eastAsia="zh-C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rsid w:val="00B27832"/>
    <w:pPr>
      <w:spacing w:before="180" w:after="120" w:line="300" w:lineRule="atLeast"/>
      <w:jc w:val="both"/>
    </w:pPr>
    <w:rPr>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rsid w:val="00B27832"/>
    <w:pPr>
      <w:spacing w:before="180" w:after="120" w:line="300" w:lineRule="atLeast"/>
      <w:jc w:val="both"/>
    </w:pPr>
    <w:rPr>
      <w:lang w:eastAsia="zh-C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rsid w:val="00B27832"/>
    <w:pPr>
      <w:spacing w:before="180" w:after="120" w:line="300" w:lineRule="atLeast"/>
      <w:jc w:val="both"/>
    </w:pPr>
    <w:rPr>
      <w:lang w:eastAsia="zh-C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rsid w:val="00B27832"/>
    <w:pPr>
      <w:spacing w:before="180" w:after="120" w:line="300" w:lineRule="atLeast"/>
      <w:jc w:val="both"/>
    </w:pPr>
    <w:rPr>
      <w:lang w:eastAsia="zh-C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rsid w:val="00B27832"/>
    <w:pPr>
      <w:spacing w:before="180" w:after="120" w:line="300" w:lineRule="atLeast"/>
      <w:jc w:val="both"/>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rsid w:val="00B27832"/>
    <w:pPr>
      <w:spacing w:before="180" w:after="120" w:line="300" w:lineRule="atLeast"/>
      <w:jc w:val="both"/>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semiHidden/>
    <w:rsid w:val="00B27832"/>
  </w:style>
  <w:style w:type="character" w:customStyle="1" w:styleId="TextkrperZchn">
    <w:name w:val="Textkörper Zchn"/>
    <w:basedOn w:val="Absatz-Standardschriftart"/>
    <w:link w:val="Textkrper"/>
    <w:semiHidden/>
    <w:rsid w:val="00B27832"/>
  </w:style>
  <w:style w:type="paragraph" w:styleId="Textkrper2">
    <w:name w:val="Body Text 2"/>
    <w:basedOn w:val="Standard"/>
    <w:link w:val="Textkrper2Zchn"/>
    <w:semiHidden/>
    <w:rsid w:val="00B27832"/>
    <w:pPr>
      <w:spacing w:line="480" w:lineRule="auto"/>
    </w:pPr>
  </w:style>
  <w:style w:type="character" w:customStyle="1" w:styleId="Textkrper2Zchn">
    <w:name w:val="Textkörper 2 Zchn"/>
    <w:basedOn w:val="Absatz-Standardschriftart"/>
    <w:link w:val="Textkrper2"/>
    <w:semiHidden/>
    <w:rsid w:val="00B27832"/>
  </w:style>
  <w:style w:type="paragraph" w:styleId="Textkrper3">
    <w:name w:val="Body Text 3"/>
    <w:basedOn w:val="Standard"/>
    <w:link w:val="Textkrper3Zchn"/>
    <w:semiHidden/>
    <w:rsid w:val="00B27832"/>
    <w:rPr>
      <w:sz w:val="16"/>
      <w:szCs w:val="16"/>
    </w:rPr>
  </w:style>
  <w:style w:type="character" w:customStyle="1" w:styleId="Textkrper3Zchn">
    <w:name w:val="Textkörper 3 Zchn"/>
    <w:basedOn w:val="Absatz-Standardschriftart"/>
    <w:link w:val="Textkrper3"/>
    <w:semiHidden/>
    <w:rsid w:val="00B27832"/>
    <w:rPr>
      <w:sz w:val="16"/>
      <w:szCs w:val="16"/>
    </w:rPr>
  </w:style>
  <w:style w:type="paragraph" w:styleId="Textkrper-Einzug2">
    <w:name w:val="Body Text Indent 2"/>
    <w:basedOn w:val="Standard"/>
    <w:link w:val="Textkrper-Einzug2Zchn"/>
    <w:semiHidden/>
    <w:rsid w:val="00B27832"/>
    <w:pPr>
      <w:spacing w:line="480" w:lineRule="auto"/>
      <w:ind w:left="283"/>
    </w:pPr>
  </w:style>
  <w:style w:type="character" w:customStyle="1" w:styleId="Textkrper-Einzug2Zchn">
    <w:name w:val="Textkörper-Einzug 2 Zchn"/>
    <w:basedOn w:val="Absatz-Standardschriftart"/>
    <w:link w:val="Textkrper-Einzug2"/>
    <w:semiHidden/>
    <w:rsid w:val="00B27832"/>
  </w:style>
  <w:style w:type="paragraph" w:styleId="Textkrper-Einzug3">
    <w:name w:val="Body Text Indent 3"/>
    <w:basedOn w:val="Standard"/>
    <w:link w:val="Textkrper-Einzug3Zchn"/>
    <w:semiHidden/>
    <w:rsid w:val="00B27832"/>
    <w:pPr>
      <w:ind w:left="283"/>
    </w:pPr>
    <w:rPr>
      <w:sz w:val="16"/>
      <w:szCs w:val="16"/>
    </w:rPr>
  </w:style>
  <w:style w:type="character" w:customStyle="1" w:styleId="Textkrper-Einzug3Zchn">
    <w:name w:val="Textkörper-Einzug 3 Zchn"/>
    <w:basedOn w:val="Absatz-Standardschriftart"/>
    <w:link w:val="Textkrper-Einzug3"/>
    <w:semiHidden/>
    <w:rsid w:val="00B27832"/>
    <w:rPr>
      <w:sz w:val="16"/>
      <w:szCs w:val="16"/>
    </w:rPr>
  </w:style>
  <w:style w:type="paragraph" w:styleId="Textkrper-Erstzeileneinzug">
    <w:name w:val="Body Text First Indent"/>
    <w:basedOn w:val="Textkrper"/>
    <w:link w:val="Textkrper-ErstzeileneinzugZchn"/>
    <w:semiHidden/>
    <w:rsid w:val="00B27832"/>
    <w:pPr>
      <w:ind w:firstLine="210"/>
    </w:pPr>
  </w:style>
  <w:style w:type="character" w:customStyle="1" w:styleId="Textkrper-ErstzeileneinzugZchn">
    <w:name w:val="Textkörper-Erstzeileneinzug Zchn"/>
    <w:basedOn w:val="TextkrperZchn"/>
    <w:link w:val="Textkrper-Erstzeileneinzug"/>
    <w:semiHidden/>
    <w:rsid w:val="00B27832"/>
  </w:style>
  <w:style w:type="paragraph" w:styleId="Textkrper-Zeileneinzug">
    <w:name w:val="Body Text Indent"/>
    <w:basedOn w:val="Standard"/>
    <w:link w:val="Textkrper-ZeileneinzugZchn"/>
    <w:semiHidden/>
    <w:rsid w:val="00B27832"/>
    <w:pPr>
      <w:ind w:left="283"/>
    </w:pPr>
  </w:style>
  <w:style w:type="character" w:customStyle="1" w:styleId="Textkrper-ZeileneinzugZchn">
    <w:name w:val="Textkörper-Zeileneinzug Zchn"/>
    <w:basedOn w:val="Absatz-Standardschriftart"/>
    <w:link w:val="Textkrper-Zeileneinzug"/>
    <w:semiHidden/>
    <w:rsid w:val="00B27832"/>
  </w:style>
  <w:style w:type="paragraph" w:styleId="Textkrper-Erstzeileneinzug2">
    <w:name w:val="Body Text First Indent 2"/>
    <w:basedOn w:val="Textkrper-Zeileneinzug"/>
    <w:link w:val="Textkrper-Erstzeileneinzug2Zchn"/>
    <w:semiHidden/>
    <w:rsid w:val="00B27832"/>
    <w:pPr>
      <w:ind w:firstLine="210"/>
    </w:pPr>
  </w:style>
  <w:style w:type="character" w:customStyle="1" w:styleId="Textkrper-Erstzeileneinzug2Zchn">
    <w:name w:val="Textkörper-Erstzeileneinzug 2 Zchn"/>
    <w:basedOn w:val="Textkrper-ZeileneinzugZchn"/>
    <w:link w:val="Textkrper-Erstzeileneinzug2"/>
    <w:semiHidden/>
    <w:rsid w:val="00B27832"/>
  </w:style>
  <w:style w:type="paragraph" w:styleId="Titel">
    <w:name w:val="Title"/>
    <w:basedOn w:val="Standard"/>
    <w:link w:val="TitelZchn"/>
    <w:semiHidden/>
    <w:rsid w:val="00B27832"/>
    <w:pPr>
      <w:spacing w:after="60"/>
      <w:jc w:val="center"/>
      <w:outlineLvl w:val="0"/>
    </w:pPr>
    <w:rPr>
      <w:rFonts w:cs="Arial"/>
      <w:b/>
      <w:bCs/>
      <w:kern w:val="28"/>
      <w:sz w:val="32"/>
      <w:szCs w:val="32"/>
    </w:rPr>
  </w:style>
  <w:style w:type="character" w:customStyle="1" w:styleId="TitelZchn">
    <w:name w:val="Titel Zchn"/>
    <w:basedOn w:val="Absatz-Standardschriftart"/>
    <w:link w:val="Titel"/>
    <w:semiHidden/>
    <w:rsid w:val="00B27832"/>
    <w:rPr>
      <w:rFonts w:cs="Arial"/>
      <w:b/>
      <w:bCs/>
      <w:kern w:val="28"/>
      <w:sz w:val="32"/>
      <w:szCs w:val="32"/>
    </w:rPr>
  </w:style>
  <w:style w:type="paragraph" w:styleId="Umschlagabsenderadresse">
    <w:name w:val="envelope return"/>
    <w:basedOn w:val="Standard"/>
    <w:semiHidden/>
    <w:rsid w:val="00B27832"/>
    <w:rPr>
      <w:rFonts w:cs="Arial"/>
      <w:szCs w:val="20"/>
    </w:rPr>
  </w:style>
  <w:style w:type="paragraph" w:styleId="Umschlagadresse">
    <w:name w:val="envelope address"/>
    <w:basedOn w:val="Standard"/>
    <w:semiHidden/>
    <w:rsid w:val="00B27832"/>
    <w:pPr>
      <w:framePr w:w="4320" w:h="2160" w:hRule="exact" w:hSpace="141" w:wrap="auto" w:hAnchor="page" w:xAlign="center" w:yAlign="bottom"/>
      <w:ind w:left="1"/>
    </w:pPr>
    <w:rPr>
      <w:rFonts w:cs="Arial"/>
    </w:rPr>
  </w:style>
  <w:style w:type="paragraph" w:styleId="Unterschrift">
    <w:name w:val="Signature"/>
    <w:basedOn w:val="Standard"/>
    <w:link w:val="UnterschriftZchn"/>
    <w:semiHidden/>
    <w:rsid w:val="00B27832"/>
    <w:pPr>
      <w:ind w:left="4252"/>
    </w:pPr>
  </w:style>
  <w:style w:type="character" w:customStyle="1" w:styleId="UnterschriftZchn">
    <w:name w:val="Unterschrift Zchn"/>
    <w:basedOn w:val="Absatz-Standardschriftart"/>
    <w:link w:val="Unterschrift"/>
    <w:semiHidden/>
    <w:rsid w:val="00B27832"/>
  </w:style>
  <w:style w:type="paragraph" w:styleId="Untertitel">
    <w:name w:val="Subtitle"/>
    <w:basedOn w:val="Standard"/>
    <w:link w:val="UntertitelZchn"/>
    <w:semiHidden/>
    <w:rsid w:val="00B27832"/>
    <w:pPr>
      <w:spacing w:after="60"/>
      <w:jc w:val="center"/>
      <w:outlineLvl w:val="1"/>
    </w:pPr>
    <w:rPr>
      <w:rFonts w:cs="Arial"/>
    </w:rPr>
  </w:style>
  <w:style w:type="character" w:customStyle="1" w:styleId="UntertitelZchn">
    <w:name w:val="Untertitel Zchn"/>
    <w:basedOn w:val="Absatz-Standardschriftart"/>
    <w:link w:val="Untertitel"/>
    <w:semiHidden/>
    <w:rsid w:val="00B27832"/>
    <w:rPr>
      <w:rFonts w:cs="Arial"/>
    </w:rPr>
  </w:style>
  <w:style w:type="paragraph" w:styleId="Verzeichnis1">
    <w:name w:val="toc 1"/>
    <w:basedOn w:val="Standard"/>
    <w:next w:val="Standard"/>
    <w:uiPriority w:val="39"/>
    <w:semiHidden/>
    <w:rsid w:val="00B27832"/>
    <w:pPr>
      <w:tabs>
        <w:tab w:val="left" w:pos="567"/>
        <w:tab w:val="right" w:leader="dot" w:pos="9072"/>
      </w:tabs>
      <w:spacing w:before="120"/>
      <w:ind w:left="567" w:right="454" w:hanging="567"/>
    </w:pPr>
    <w:rPr>
      <w:b/>
    </w:rPr>
  </w:style>
  <w:style w:type="paragraph" w:styleId="Verzeichnis2">
    <w:name w:val="toc 2"/>
    <w:basedOn w:val="Standard"/>
    <w:next w:val="Standard"/>
    <w:uiPriority w:val="39"/>
    <w:rsid w:val="00B27832"/>
    <w:pPr>
      <w:tabs>
        <w:tab w:val="right" w:leader="dot" w:pos="9072"/>
      </w:tabs>
      <w:ind w:left="1134" w:right="454" w:hanging="567"/>
    </w:pPr>
  </w:style>
  <w:style w:type="paragraph" w:styleId="Verzeichnis3">
    <w:name w:val="toc 3"/>
    <w:basedOn w:val="Standard"/>
    <w:next w:val="Standard"/>
    <w:uiPriority w:val="39"/>
    <w:rsid w:val="00B27832"/>
    <w:pPr>
      <w:tabs>
        <w:tab w:val="right" w:leader="dot" w:pos="9072"/>
      </w:tabs>
      <w:ind w:left="1701" w:right="454" w:hanging="567"/>
    </w:pPr>
  </w:style>
  <w:style w:type="paragraph" w:styleId="Verzeichnis4">
    <w:name w:val="toc 4"/>
    <w:basedOn w:val="Standard"/>
    <w:next w:val="Standard"/>
    <w:uiPriority w:val="39"/>
    <w:semiHidden/>
    <w:rsid w:val="00B27832"/>
    <w:pPr>
      <w:tabs>
        <w:tab w:val="right" w:leader="dot" w:pos="9072"/>
      </w:tabs>
      <w:ind w:left="2268" w:right="454" w:hanging="567"/>
    </w:pPr>
  </w:style>
  <w:style w:type="paragraph" w:styleId="Verzeichnis5">
    <w:name w:val="toc 5"/>
    <w:basedOn w:val="Standard"/>
    <w:next w:val="Standard"/>
    <w:uiPriority w:val="39"/>
    <w:semiHidden/>
    <w:rsid w:val="00B27832"/>
    <w:pPr>
      <w:tabs>
        <w:tab w:val="left" w:pos="2835"/>
        <w:tab w:val="right" w:leader="dot" w:pos="9072"/>
      </w:tabs>
      <w:spacing w:line="240" w:lineRule="atLeast"/>
      <w:ind w:left="2835" w:right="454" w:hanging="567"/>
    </w:pPr>
  </w:style>
  <w:style w:type="paragraph" w:styleId="Verzeichnis6">
    <w:name w:val="toc 6"/>
    <w:basedOn w:val="Standard"/>
    <w:next w:val="Standard"/>
    <w:uiPriority w:val="39"/>
    <w:semiHidden/>
    <w:rsid w:val="00B27832"/>
    <w:pPr>
      <w:tabs>
        <w:tab w:val="right" w:leader="dot" w:pos="9072"/>
      </w:tabs>
      <w:ind w:left="3402" w:right="454" w:hanging="567"/>
    </w:pPr>
  </w:style>
  <w:style w:type="paragraph" w:styleId="Verzeichnis7">
    <w:name w:val="toc 7"/>
    <w:basedOn w:val="Standard"/>
    <w:next w:val="Standard"/>
    <w:uiPriority w:val="39"/>
    <w:semiHidden/>
    <w:rsid w:val="00B27832"/>
    <w:pPr>
      <w:tabs>
        <w:tab w:val="right" w:leader="dot" w:pos="9072"/>
      </w:tabs>
      <w:ind w:left="3969" w:right="454" w:hanging="567"/>
    </w:pPr>
  </w:style>
  <w:style w:type="paragraph" w:styleId="Verzeichnis8">
    <w:name w:val="toc 8"/>
    <w:basedOn w:val="Standard"/>
    <w:next w:val="Standard"/>
    <w:uiPriority w:val="39"/>
    <w:semiHidden/>
    <w:rsid w:val="00B27832"/>
    <w:pPr>
      <w:tabs>
        <w:tab w:val="left" w:pos="567"/>
        <w:tab w:val="right" w:leader="dot" w:pos="9072"/>
      </w:tabs>
      <w:ind w:left="4536" w:right="454" w:hanging="567"/>
    </w:pPr>
  </w:style>
  <w:style w:type="paragraph" w:styleId="Verzeichnis9">
    <w:name w:val="toc 9"/>
    <w:basedOn w:val="Standard"/>
    <w:next w:val="Standard"/>
    <w:uiPriority w:val="39"/>
    <w:semiHidden/>
    <w:rsid w:val="00B27832"/>
    <w:pPr>
      <w:tabs>
        <w:tab w:val="left" w:pos="567"/>
        <w:tab w:val="right" w:leader="dot" w:pos="9072"/>
      </w:tabs>
      <w:ind w:left="5103" w:right="454" w:hanging="567"/>
    </w:pPr>
  </w:style>
  <w:style w:type="character" w:styleId="Zeilennummer">
    <w:name w:val="line number"/>
    <w:basedOn w:val="Absatz-Standardschriftart"/>
    <w:semiHidden/>
    <w:rsid w:val="00B27832"/>
  </w:style>
  <w:style w:type="paragraph" w:styleId="Funotentext">
    <w:name w:val="footnote text"/>
    <w:basedOn w:val="Standard"/>
    <w:link w:val="FunotentextZchn"/>
    <w:semiHidden/>
    <w:rsid w:val="00B27832"/>
    <w:rPr>
      <w:sz w:val="20"/>
      <w:szCs w:val="20"/>
    </w:rPr>
  </w:style>
  <w:style w:type="character" w:customStyle="1" w:styleId="FunotentextZchn">
    <w:name w:val="Fußnotentext Zchn"/>
    <w:basedOn w:val="Absatz-Standardschriftart"/>
    <w:link w:val="Funotentext"/>
    <w:semiHidden/>
    <w:rsid w:val="00B27832"/>
    <w:rPr>
      <w:sz w:val="20"/>
      <w:szCs w:val="20"/>
    </w:rPr>
  </w:style>
  <w:style w:type="paragraph" w:customStyle="1" w:styleId="CMSToDo">
    <w:name w:val="CMS To Do"/>
    <w:basedOn w:val="Standard"/>
    <w:next w:val="Standard"/>
    <w:qFormat/>
    <w:rsid w:val="00B27832"/>
    <w:pPr>
      <w:numPr>
        <w:numId w:val="27"/>
      </w:numPr>
      <w:pBdr>
        <w:top w:val="single" w:sz="4" w:space="2" w:color="auto" w:shadow="1"/>
        <w:left w:val="single" w:sz="4" w:space="4" w:color="auto" w:shadow="1"/>
        <w:bottom w:val="single" w:sz="4" w:space="4" w:color="auto" w:shadow="1"/>
        <w:right w:val="single" w:sz="4" w:space="4" w:color="auto" w:shadow="1"/>
      </w:pBdr>
      <w:adjustRightInd/>
      <w:snapToGrid/>
      <w:spacing w:after="240"/>
      <w:ind w:right="567"/>
    </w:pPr>
    <w:rPr>
      <w:rFonts w:eastAsiaTheme="minorHAnsi" w:cstheme="minorBidi"/>
      <w:szCs w:val="22"/>
      <w:lang w:val="en-GB" w:eastAsia="en-US"/>
    </w:rPr>
  </w:style>
  <w:style w:type="paragraph" w:styleId="Abbildungsverzeichnis">
    <w:name w:val="table of figures"/>
    <w:basedOn w:val="Standard"/>
    <w:next w:val="Standard"/>
    <w:semiHidden/>
    <w:rsid w:val="00B27832"/>
  </w:style>
  <w:style w:type="paragraph" w:styleId="Zitat">
    <w:name w:val="Quote"/>
    <w:basedOn w:val="Standard"/>
    <w:next w:val="Standard"/>
    <w:link w:val="ZitatZchn"/>
    <w:uiPriority w:val="29"/>
    <w:semiHidden/>
    <w:rsid w:val="00B27832"/>
    <w:rPr>
      <w:i/>
      <w:iCs/>
      <w:color w:val="000000" w:themeColor="text1"/>
    </w:rPr>
  </w:style>
  <w:style w:type="character" w:customStyle="1" w:styleId="ZitatZchn">
    <w:name w:val="Zitat Zchn"/>
    <w:basedOn w:val="Absatz-Standardschriftart"/>
    <w:link w:val="Zitat"/>
    <w:uiPriority w:val="29"/>
    <w:semiHidden/>
    <w:rsid w:val="00B27832"/>
    <w:rPr>
      <w:i/>
      <w:iCs/>
      <w:color w:val="000000" w:themeColor="text1"/>
    </w:rPr>
  </w:style>
  <w:style w:type="paragraph" w:styleId="Beschriftung">
    <w:name w:val="caption"/>
    <w:basedOn w:val="Standard"/>
    <w:next w:val="Standard"/>
    <w:semiHidden/>
    <w:qFormat/>
    <w:rsid w:val="00B27832"/>
    <w:pPr>
      <w:spacing w:after="200"/>
    </w:pPr>
    <w:rPr>
      <w:b/>
      <w:bCs/>
      <w:color w:val="ADA6A1" w:themeColor="accent1"/>
      <w:sz w:val="18"/>
      <w:szCs w:val="18"/>
    </w:rPr>
  </w:style>
  <w:style w:type="character" w:styleId="Buchtitel">
    <w:name w:val="Book Title"/>
    <w:basedOn w:val="Absatz-Standardschriftart"/>
    <w:uiPriority w:val="33"/>
    <w:semiHidden/>
    <w:rsid w:val="00B27832"/>
    <w:rPr>
      <w:b/>
      <w:bCs/>
      <w:smallCaps/>
      <w:spacing w:val="5"/>
    </w:rPr>
  </w:style>
  <w:style w:type="paragraph" w:styleId="Dokumentstruktur">
    <w:name w:val="Document Map"/>
    <w:basedOn w:val="Standard"/>
    <w:link w:val="DokumentstrukturZchn"/>
    <w:semiHidden/>
    <w:rsid w:val="00B27832"/>
    <w:rPr>
      <w:rFonts w:ascii="Tahoma" w:hAnsi="Tahoma" w:cs="Tahoma"/>
      <w:sz w:val="16"/>
      <w:szCs w:val="16"/>
    </w:rPr>
  </w:style>
  <w:style w:type="character" w:customStyle="1" w:styleId="DokumentstrukturZchn">
    <w:name w:val="Dokumentstruktur Zchn"/>
    <w:basedOn w:val="Absatz-Standardschriftart"/>
    <w:link w:val="Dokumentstruktur"/>
    <w:semiHidden/>
    <w:rsid w:val="00B27832"/>
    <w:rPr>
      <w:rFonts w:ascii="Tahoma" w:hAnsi="Tahoma" w:cs="Tahoma"/>
      <w:sz w:val="16"/>
      <w:szCs w:val="16"/>
    </w:rPr>
  </w:style>
  <w:style w:type="paragraph" w:styleId="Endnotentext">
    <w:name w:val="endnote text"/>
    <w:basedOn w:val="Standard"/>
    <w:link w:val="EndnotentextZchn"/>
    <w:semiHidden/>
    <w:rsid w:val="00B27832"/>
    <w:rPr>
      <w:sz w:val="20"/>
      <w:szCs w:val="20"/>
    </w:rPr>
  </w:style>
  <w:style w:type="character" w:customStyle="1" w:styleId="EndnotentextZchn">
    <w:name w:val="Endnotentext Zchn"/>
    <w:basedOn w:val="Absatz-Standardschriftart"/>
    <w:link w:val="Endnotentext"/>
    <w:semiHidden/>
    <w:rsid w:val="00B27832"/>
    <w:rPr>
      <w:sz w:val="20"/>
      <w:szCs w:val="20"/>
    </w:rPr>
  </w:style>
  <w:style w:type="character" w:styleId="Endnotenzeichen">
    <w:name w:val="endnote reference"/>
    <w:basedOn w:val="Absatz-Standardschriftart"/>
    <w:semiHidden/>
    <w:rsid w:val="00B27832"/>
    <w:rPr>
      <w:vertAlign w:val="superscript"/>
    </w:rPr>
  </w:style>
  <w:style w:type="character" w:styleId="Funotenzeichen">
    <w:name w:val="footnote reference"/>
    <w:basedOn w:val="Absatz-Standardschriftart"/>
    <w:semiHidden/>
    <w:rsid w:val="00B27832"/>
    <w:rPr>
      <w:vertAlign w:val="superscript"/>
    </w:rPr>
  </w:style>
  <w:style w:type="paragraph" w:styleId="Index1">
    <w:name w:val="index 1"/>
    <w:basedOn w:val="Standard"/>
    <w:next w:val="Standard"/>
    <w:autoRedefine/>
    <w:semiHidden/>
    <w:rsid w:val="00B27832"/>
    <w:pPr>
      <w:ind w:left="240" w:hanging="240"/>
    </w:pPr>
  </w:style>
  <w:style w:type="paragraph" w:styleId="Index2">
    <w:name w:val="index 2"/>
    <w:basedOn w:val="Standard"/>
    <w:next w:val="Standard"/>
    <w:autoRedefine/>
    <w:semiHidden/>
    <w:rsid w:val="00B27832"/>
    <w:pPr>
      <w:ind w:left="480" w:hanging="240"/>
    </w:pPr>
  </w:style>
  <w:style w:type="paragraph" w:styleId="Index3">
    <w:name w:val="index 3"/>
    <w:basedOn w:val="Standard"/>
    <w:next w:val="Standard"/>
    <w:autoRedefine/>
    <w:semiHidden/>
    <w:rsid w:val="00B27832"/>
    <w:pPr>
      <w:ind w:left="720" w:hanging="240"/>
    </w:pPr>
  </w:style>
  <w:style w:type="paragraph" w:styleId="Index4">
    <w:name w:val="index 4"/>
    <w:basedOn w:val="Standard"/>
    <w:next w:val="Standard"/>
    <w:autoRedefine/>
    <w:semiHidden/>
    <w:rsid w:val="00B27832"/>
    <w:pPr>
      <w:ind w:left="960" w:hanging="240"/>
    </w:pPr>
  </w:style>
  <w:style w:type="paragraph" w:styleId="Index5">
    <w:name w:val="index 5"/>
    <w:basedOn w:val="Standard"/>
    <w:next w:val="Standard"/>
    <w:autoRedefine/>
    <w:semiHidden/>
    <w:rsid w:val="00B27832"/>
    <w:pPr>
      <w:ind w:left="1200" w:hanging="240"/>
    </w:pPr>
  </w:style>
  <w:style w:type="paragraph" w:styleId="Index6">
    <w:name w:val="index 6"/>
    <w:basedOn w:val="Standard"/>
    <w:next w:val="Standard"/>
    <w:autoRedefine/>
    <w:semiHidden/>
    <w:rsid w:val="00B27832"/>
    <w:pPr>
      <w:ind w:left="1440" w:hanging="240"/>
    </w:pPr>
  </w:style>
  <w:style w:type="paragraph" w:styleId="Index7">
    <w:name w:val="index 7"/>
    <w:basedOn w:val="Standard"/>
    <w:next w:val="Standard"/>
    <w:autoRedefine/>
    <w:semiHidden/>
    <w:rsid w:val="00B27832"/>
    <w:pPr>
      <w:ind w:left="1680" w:hanging="240"/>
    </w:pPr>
  </w:style>
  <w:style w:type="paragraph" w:styleId="Index8">
    <w:name w:val="index 8"/>
    <w:basedOn w:val="Standard"/>
    <w:next w:val="Standard"/>
    <w:autoRedefine/>
    <w:semiHidden/>
    <w:rsid w:val="00B27832"/>
    <w:pPr>
      <w:ind w:left="1920" w:hanging="240"/>
    </w:pPr>
  </w:style>
  <w:style w:type="paragraph" w:styleId="Index9">
    <w:name w:val="index 9"/>
    <w:basedOn w:val="Standard"/>
    <w:next w:val="Standard"/>
    <w:autoRedefine/>
    <w:semiHidden/>
    <w:rsid w:val="00B27832"/>
    <w:pPr>
      <w:ind w:left="2160" w:hanging="240"/>
    </w:pPr>
  </w:style>
  <w:style w:type="paragraph" w:styleId="Indexberschrift">
    <w:name w:val="index heading"/>
    <w:basedOn w:val="Standard"/>
    <w:next w:val="Index1"/>
    <w:semiHidden/>
    <w:rsid w:val="00B27832"/>
    <w:rPr>
      <w:rFonts w:asciiTheme="majorHAnsi" w:eastAsiaTheme="majorEastAsia" w:hAnsiTheme="majorHAnsi" w:cstheme="majorBidi"/>
      <w:b/>
      <w:bCs/>
    </w:rPr>
  </w:style>
  <w:style w:type="paragraph" w:styleId="Inhaltsverzeichnisberschrift">
    <w:name w:val="TOC Heading"/>
    <w:basedOn w:val="berschrift1"/>
    <w:next w:val="Standard"/>
    <w:uiPriority w:val="39"/>
    <w:semiHidden/>
    <w:qFormat/>
    <w:rsid w:val="00B27832"/>
    <w:pPr>
      <w:keepLines/>
      <w:spacing w:before="480" w:after="0"/>
      <w:outlineLvl w:val="9"/>
    </w:pPr>
    <w:rPr>
      <w:rFonts w:asciiTheme="majorHAnsi" w:eastAsiaTheme="majorEastAsia" w:hAnsiTheme="majorHAnsi" w:cstheme="majorBidi"/>
      <w:color w:val="857B74" w:themeColor="accent1" w:themeShade="BF"/>
      <w:kern w:val="0"/>
      <w:sz w:val="28"/>
      <w:szCs w:val="28"/>
    </w:rPr>
  </w:style>
  <w:style w:type="character" w:styleId="IntensiveHervorhebung">
    <w:name w:val="Intense Emphasis"/>
    <w:basedOn w:val="Absatz-Standardschriftart"/>
    <w:uiPriority w:val="21"/>
    <w:semiHidden/>
    <w:rsid w:val="00B27832"/>
    <w:rPr>
      <w:b/>
      <w:bCs/>
      <w:i/>
      <w:iCs/>
      <w:color w:val="ADA6A1" w:themeColor="accent1"/>
    </w:rPr>
  </w:style>
  <w:style w:type="character" w:styleId="IntensiverVerweis">
    <w:name w:val="Intense Reference"/>
    <w:basedOn w:val="Absatz-Standardschriftart"/>
    <w:uiPriority w:val="32"/>
    <w:semiHidden/>
    <w:rsid w:val="00B27832"/>
    <w:rPr>
      <w:b/>
      <w:bCs/>
      <w:smallCaps/>
      <w:color w:val="ABB300" w:themeColor="accent2"/>
      <w:spacing w:val="5"/>
      <w:u w:val="single"/>
    </w:rPr>
  </w:style>
  <w:style w:type="paragraph" w:styleId="IntensivesZitat">
    <w:name w:val="Intense Quote"/>
    <w:basedOn w:val="Standard"/>
    <w:next w:val="Standard"/>
    <w:link w:val="IntensivesZitatZchn"/>
    <w:uiPriority w:val="30"/>
    <w:semiHidden/>
    <w:rsid w:val="00B27832"/>
    <w:pPr>
      <w:pBdr>
        <w:bottom w:val="single" w:sz="4" w:space="4" w:color="ADA6A1" w:themeColor="accent1"/>
      </w:pBdr>
      <w:spacing w:before="200" w:after="280"/>
      <w:ind w:left="936" w:right="936"/>
    </w:pPr>
    <w:rPr>
      <w:b/>
      <w:bCs/>
      <w:i/>
      <w:iCs/>
      <w:color w:val="ADA6A1" w:themeColor="accent1"/>
    </w:rPr>
  </w:style>
  <w:style w:type="character" w:customStyle="1" w:styleId="IntensivesZitatZchn">
    <w:name w:val="Intensives Zitat Zchn"/>
    <w:basedOn w:val="Absatz-Standardschriftart"/>
    <w:link w:val="IntensivesZitat"/>
    <w:uiPriority w:val="30"/>
    <w:semiHidden/>
    <w:rsid w:val="00B27832"/>
    <w:rPr>
      <w:b/>
      <w:bCs/>
      <w:i/>
      <w:iCs/>
      <w:color w:val="ADA6A1" w:themeColor="accent1"/>
    </w:rPr>
  </w:style>
  <w:style w:type="paragraph" w:styleId="KeinLeerraum">
    <w:name w:val="No Spacing"/>
    <w:uiPriority w:val="1"/>
    <w:semiHidden/>
    <w:rsid w:val="00B27832"/>
    <w:pPr>
      <w:adjustRightInd w:val="0"/>
      <w:snapToGrid w:val="0"/>
      <w:spacing w:before="240" w:after="120" w:line="340" w:lineRule="atLeast"/>
    </w:pPr>
  </w:style>
  <w:style w:type="paragraph" w:styleId="Kommentartext">
    <w:name w:val="annotation text"/>
    <w:basedOn w:val="Standard"/>
    <w:link w:val="KommentartextZchn"/>
    <w:semiHidden/>
    <w:rsid w:val="00B27832"/>
    <w:rPr>
      <w:sz w:val="20"/>
      <w:szCs w:val="20"/>
    </w:rPr>
  </w:style>
  <w:style w:type="character" w:customStyle="1" w:styleId="KommentartextZchn">
    <w:name w:val="Kommentartext Zchn"/>
    <w:basedOn w:val="Absatz-Standardschriftart"/>
    <w:link w:val="Kommentartext"/>
    <w:semiHidden/>
    <w:rsid w:val="00B27832"/>
    <w:rPr>
      <w:sz w:val="20"/>
      <w:szCs w:val="20"/>
    </w:rPr>
  </w:style>
  <w:style w:type="paragraph" w:styleId="Kommentarthema">
    <w:name w:val="annotation subject"/>
    <w:basedOn w:val="Kommentartext"/>
    <w:next w:val="Kommentartext"/>
    <w:link w:val="KommentarthemaZchn"/>
    <w:semiHidden/>
    <w:rsid w:val="00B27832"/>
    <w:rPr>
      <w:b/>
      <w:bCs/>
    </w:rPr>
  </w:style>
  <w:style w:type="character" w:customStyle="1" w:styleId="KommentarthemaZchn">
    <w:name w:val="Kommentarthema Zchn"/>
    <w:basedOn w:val="KommentartextZchn"/>
    <w:link w:val="Kommentarthema"/>
    <w:semiHidden/>
    <w:rsid w:val="00B27832"/>
    <w:rPr>
      <w:b/>
      <w:bCs/>
      <w:sz w:val="20"/>
      <w:szCs w:val="20"/>
    </w:rPr>
  </w:style>
  <w:style w:type="character" w:styleId="Kommentarzeichen">
    <w:name w:val="annotation reference"/>
    <w:basedOn w:val="Absatz-Standardschriftart"/>
    <w:semiHidden/>
    <w:rsid w:val="00B27832"/>
    <w:rPr>
      <w:sz w:val="16"/>
      <w:szCs w:val="16"/>
    </w:rPr>
  </w:style>
  <w:style w:type="paragraph" w:styleId="Listenabsatz">
    <w:name w:val="List Paragraph"/>
    <w:basedOn w:val="Standard"/>
    <w:uiPriority w:val="34"/>
    <w:semiHidden/>
    <w:rsid w:val="00B27832"/>
    <w:pPr>
      <w:ind w:left="720"/>
      <w:contextualSpacing/>
    </w:pPr>
  </w:style>
  <w:style w:type="paragraph" w:styleId="Literaturverzeichnis">
    <w:name w:val="Bibliography"/>
    <w:basedOn w:val="Standard"/>
    <w:next w:val="Standard"/>
    <w:uiPriority w:val="37"/>
    <w:semiHidden/>
    <w:rsid w:val="00B27832"/>
  </w:style>
  <w:style w:type="paragraph" w:styleId="Makrotext">
    <w:name w:val="macro"/>
    <w:link w:val="MakrotextZchn"/>
    <w:semiHidden/>
    <w:rsid w:val="00B27832"/>
    <w:pPr>
      <w:tabs>
        <w:tab w:val="left" w:pos="480"/>
        <w:tab w:val="left" w:pos="960"/>
        <w:tab w:val="left" w:pos="1440"/>
        <w:tab w:val="left" w:pos="1920"/>
        <w:tab w:val="left" w:pos="2400"/>
        <w:tab w:val="left" w:pos="2880"/>
        <w:tab w:val="left" w:pos="3360"/>
        <w:tab w:val="left" w:pos="3840"/>
        <w:tab w:val="left" w:pos="4320"/>
      </w:tabs>
      <w:adjustRightInd w:val="0"/>
      <w:snapToGrid w:val="0"/>
      <w:spacing w:before="180" w:after="120" w:line="340" w:lineRule="atLeast"/>
    </w:pPr>
    <w:rPr>
      <w:rFonts w:ascii="Consolas" w:hAnsi="Consolas"/>
    </w:rPr>
  </w:style>
  <w:style w:type="character" w:customStyle="1" w:styleId="MakrotextZchn">
    <w:name w:val="Makrotext Zchn"/>
    <w:basedOn w:val="Absatz-Standardschriftart"/>
    <w:link w:val="Makrotext"/>
    <w:semiHidden/>
    <w:rsid w:val="00B27832"/>
    <w:rPr>
      <w:rFonts w:ascii="Consolas" w:hAnsi="Consolas"/>
    </w:rPr>
  </w:style>
  <w:style w:type="character" w:styleId="Platzhaltertext">
    <w:name w:val="Placeholder Text"/>
    <w:basedOn w:val="Absatz-Standardschriftart"/>
    <w:uiPriority w:val="99"/>
    <w:semiHidden/>
    <w:rsid w:val="00B27832"/>
    <w:rPr>
      <w:color w:val="808080"/>
    </w:rPr>
  </w:style>
  <w:style w:type="paragraph" w:styleId="Rechtsgrundlagenverzeichnis">
    <w:name w:val="table of authorities"/>
    <w:basedOn w:val="Standard"/>
    <w:next w:val="Standard"/>
    <w:semiHidden/>
    <w:rsid w:val="00B27832"/>
    <w:pPr>
      <w:ind w:left="240" w:hanging="240"/>
    </w:pPr>
  </w:style>
  <w:style w:type="paragraph" w:styleId="RGV-berschrift">
    <w:name w:val="toa heading"/>
    <w:basedOn w:val="Standard"/>
    <w:next w:val="Standard"/>
    <w:semiHidden/>
    <w:rsid w:val="00B27832"/>
    <w:pPr>
      <w:spacing w:before="120"/>
    </w:pPr>
    <w:rPr>
      <w:rFonts w:asciiTheme="majorHAnsi" w:eastAsiaTheme="majorEastAsia" w:hAnsiTheme="majorHAnsi" w:cstheme="majorBidi"/>
      <w:b/>
      <w:bCs/>
    </w:rPr>
  </w:style>
  <w:style w:type="character" w:styleId="SchwacheHervorhebung">
    <w:name w:val="Subtle Emphasis"/>
    <w:basedOn w:val="Absatz-Standardschriftart"/>
    <w:uiPriority w:val="19"/>
    <w:semiHidden/>
    <w:rsid w:val="00B27832"/>
    <w:rPr>
      <w:i/>
      <w:iCs/>
      <w:color w:val="808080" w:themeColor="text1" w:themeTint="7F"/>
    </w:rPr>
  </w:style>
  <w:style w:type="character" w:styleId="SchwacherVerweis">
    <w:name w:val="Subtle Reference"/>
    <w:basedOn w:val="Absatz-Standardschriftart"/>
    <w:uiPriority w:val="31"/>
    <w:semiHidden/>
    <w:rsid w:val="00B27832"/>
    <w:rPr>
      <w:smallCaps/>
      <w:color w:val="ABB300" w:themeColor="accent2"/>
      <w:u w:val="single"/>
    </w:rPr>
  </w:style>
  <w:style w:type="paragraph" w:customStyle="1" w:styleId="CMSAddress">
    <w:name w:val="CMS Address"/>
    <w:basedOn w:val="Standard"/>
    <w:uiPriority w:val="99"/>
    <w:qFormat/>
    <w:rsid w:val="00B27832"/>
  </w:style>
  <w:style w:type="paragraph" w:customStyle="1" w:styleId="CMSBulletpoint">
    <w:name w:val="CMS Bulletpoint"/>
    <w:basedOn w:val="Standard"/>
    <w:qFormat/>
    <w:rsid w:val="00B27832"/>
    <w:pPr>
      <w:numPr>
        <w:numId w:val="12"/>
      </w:numPr>
    </w:pPr>
  </w:style>
  <w:style w:type="paragraph" w:customStyle="1" w:styleId="CMSEvidence1">
    <w:name w:val="CMS Evidence 1"/>
    <w:basedOn w:val="Standard"/>
    <w:next w:val="Standard"/>
    <w:qFormat/>
    <w:rsid w:val="00B27832"/>
    <w:pPr>
      <w:numPr>
        <w:numId w:val="16"/>
      </w:numPr>
    </w:pPr>
  </w:style>
  <w:style w:type="paragraph" w:customStyle="1" w:styleId="CMSEvidence2">
    <w:name w:val="CMS Evidence 2"/>
    <w:basedOn w:val="Standard"/>
    <w:qFormat/>
    <w:rsid w:val="00B27832"/>
    <w:pPr>
      <w:spacing w:before="120"/>
      <w:ind w:left="2268"/>
    </w:pPr>
  </w:style>
  <w:style w:type="numbering" w:customStyle="1" w:styleId="CMS-Bulletpoints">
    <w:name w:val="CMS-Bulletpoints"/>
    <w:basedOn w:val="KeineListe"/>
    <w:uiPriority w:val="99"/>
    <w:rsid w:val="00B27832"/>
    <w:pPr>
      <w:numPr>
        <w:numId w:val="12"/>
      </w:numPr>
    </w:pPr>
  </w:style>
  <w:style w:type="numbering" w:customStyle="1" w:styleId="CMS-Evidence">
    <w:name w:val="CMS-Evidence"/>
    <w:basedOn w:val="CMS-Anmerkung"/>
    <w:uiPriority w:val="99"/>
    <w:rsid w:val="00B27832"/>
    <w:pPr>
      <w:numPr>
        <w:numId w:val="16"/>
      </w:numPr>
    </w:pPr>
  </w:style>
  <w:style w:type="numbering" w:customStyle="1" w:styleId="CMS-First">
    <w:name w:val="CMS-First"/>
    <w:basedOn w:val="KeineListe"/>
    <w:uiPriority w:val="99"/>
    <w:rsid w:val="00B27832"/>
    <w:pPr>
      <w:numPr>
        <w:numId w:val="18"/>
      </w:numPr>
    </w:pPr>
  </w:style>
  <w:style w:type="numbering" w:customStyle="1" w:styleId="CMS-ToDo">
    <w:name w:val="CMS-ToDo"/>
    <w:basedOn w:val="KeineListe"/>
    <w:uiPriority w:val="99"/>
    <w:rsid w:val="00B27832"/>
    <w:pPr>
      <w:numPr>
        <w:numId w:val="27"/>
      </w:numPr>
    </w:pPr>
  </w:style>
  <w:style w:type="paragraph" w:customStyle="1" w:styleId="CMSEnumeratedEvidence1">
    <w:name w:val="CMS Enumerated Evidence 1"/>
    <w:basedOn w:val="Standard"/>
    <w:next w:val="Standard"/>
    <w:qFormat/>
    <w:rsid w:val="00B27832"/>
    <w:pPr>
      <w:numPr>
        <w:numId w:val="15"/>
      </w:numPr>
    </w:pPr>
  </w:style>
  <w:style w:type="paragraph" w:customStyle="1" w:styleId="CMSEnumeratedEvidence2">
    <w:name w:val="CMS Enumerated Evidence 2"/>
    <w:basedOn w:val="Standard"/>
    <w:qFormat/>
    <w:rsid w:val="00B27832"/>
    <w:pPr>
      <w:spacing w:before="120"/>
      <w:ind w:left="2835" w:hanging="567"/>
    </w:pPr>
  </w:style>
  <w:style w:type="paragraph" w:customStyle="1" w:styleId="CMSPrimaFacieEnumeratedEvidence1">
    <w:name w:val="CMS Prima Facie Enumerated Evidence 1"/>
    <w:basedOn w:val="Standard"/>
    <w:next w:val="Standard"/>
    <w:qFormat/>
    <w:rsid w:val="00B27832"/>
    <w:pPr>
      <w:numPr>
        <w:numId w:val="25"/>
      </w:numPr>
    </w:pPr>
  </w:style>
  <w:style w:type="paragraph" w:customStyle="1" w:styleId="CMSPrimaFacieEnumeratedEvidence2">
    <w:name w:val="CMS Prima Facie Enumerated Evidence 2"/>
    <w:basedOn w:val="Standard"/>
    <w:qFormat/>
    <w:rsid w:val="00B27832"/>
    <w:pPr>
      <w:tabs>
        <w:tab w:val="left" w:pos="3402"/>
      </w:tabs>
      <w:spacing w:before="120"/>
      <w:ind w:left="3402" w:hanging="567"/>
    </w:pPr>
  </w:style>
  <w:style w:type="paragraph" w:customStyle="1" w:styleId="CMSPrimaFacieEvidence1">
    <w:name w:val="CMS Prima Facie Evidence 1"/>
    <w:basedOn w:val="Standard"/>
    <w:next w:val="Standard"/>
    <w:qFormat/>
    <w:rsid w:val="00B27832"/>
    <w:pPr>
      <w:numPr>
        <w:numId w:val="24"/>
      </w:numPr>
    </w:pPr>
  </w:style>
  <w:style w:type="paragraph" w:customStyle="1" w:styleId="CMSPrimaFacieEvidence2">
    <w:name w:val="CMS Prima Facie Evidence 2"/>
    <w:basedOn w:val="Standard"/>
    <w:qFormat/>
    <w:rsid w:val="00B27832"/>
    <w:pPr>
      <w:spacing w:before="120"/>
      <w:ind w:left="2835"/>
    </w:pPr>
  </w:style>
  <w:style w:type="numbering" w:customStyle="1" w:styleId="CMS-EnumeratedEvidence">
    <w:name w:val="CMS-Enumerated Evidence"/>
    <w:basedOn w:val="KeineListe"/>
    <w:uiPriority w:val="99"/>
    <w:rsid w:val="00B27832"/>
    <w:pPr>
      <w:numPr>
        <w:numId w:val="15"/>
      </w:numPr>
    </w:pPr>
  </w:style>
  <w:style w:type="numbering" w:customStyle="1" w:styleId="CMS-PrimaFacieEvidence">
    <w:name w:val="CMS-Prima Facie Evidence"/>
    <w:basedOn w:val="KeineListe"/>
    <w:uiPriority w:val="99"/>
    <w:rsid w:val="00B27832"/>
    <w:pPr>
      <w:numPr>
        <w:numId w:val="24"/>
      </w:numPr>
    </w:pPr>
  </w:style>
  <w:style w:type="numbering" w:customStyle="1" w:styleId="CMS-PrimaFacieEnumeratedEvidence">
    <w:name w:val="CMS-Prima Facie Enumerated Evidence"/>
    <w:basedOn w:val="CMS-PrimaFacieEvidence"/>
    <w:uiPriority w:val="99"/>
    <w:rsid w:val="00B27832"/>
    <w:pPr>
      <w:numPr>
        <w:numId w:val="25"/>
      </w:numPr>
    </w:pPr>
  </w:style>
  <w:style w:type="paragraph" w:styleId="berarbeitung">
    <w:name w:val="Revision"/>
    <w:hidden/>
    <w:uiPriority w:val="99"/>
    <w:semiHidden/>
    <w:rsid w:val="00310E7B"/>
  </w:style>
  <w:style w:type="character" w:styleId="NichtaufgelsteErwhnung">
    <w:name w:val="Unresolved Mention"/>
    <w:basedOn w:val="Absatz-Standardschriftart"/>
    <w:uiPriority w:val="99"/>
    <w:semiHidden/>
    <w:unhideWhenUsed/>
    <w:rsid w:val="00C951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7694862">
      <w:bodyDiv w:val="1"/>
      <w:marLeft w:val="0"/>
      <w:marRight w:val="0"/>
      <w:marTop w:val="0"/>
      <w:marBottom w:val="0"/>
      <w:divBdr>
        <w:top w:val="none" w:sz="0" w:space="0" w:color="auto"/>
        <w:left w:val="none" w:sz="0" w:space="0" w:color="auto"/>
        <w:bottom w:val="none" w:sz="0" w:space="0" w:color="auto"/>
        <w:right w:val="none" w:sz="0" w:space="0" w:color="auto"/>
      </w:divBdr>
    </w:div>
    <w:div w:id="713578738">
      <w:bodyDiv w:val="1"/>
      <w:marLeft w:val="0"/>
      <w:marRight w:val="0"/>
      <w:marTop w:val="0"/>
      <w:marBottom w:val="0"/>
      <w:divBdr>
        <w:top w:val="none" w:sz="0" w:space="0" w:color="auto"/>
        <w:left w:val="none" w:sz="0" w:space="0" w:color="auto"/>
        <w:bottom w:val="none" w:sz="0" w:space="0" w:color="auto"/>
        <w:right w:val="none" w:sz="0" w:space="0" w:color="auto"/>
      </w:divBdr>
      <w:divsChild>
        <w:div w:id="911237381">
          <w:marLeft w:val="0"/>
          <w:marRight w:val="0"/>
          <w:marTop w:val="0"/>
          <w:marBottom w:val="0"/>
          <w:divBdr>
            <w:top w:val="none" w:sz="0" w:space="0" w:color="auto"/>
            <w:left w:val="none" w:sz="0" w:space="0" w:color="auto"/>
            <w:bottom w:val="none" w:sz="0" w:space="0" w:color="auto"/>
            <w:right w:val="none" w:sz="0" w:space="0" w:color="auto"/>
          </w:divBdr>
          <w:divsChild>
            <w:div w:id="1029260988">
              <w:marLeft w:val="0"/>
              <w:marRight w:val="0"/>
              <w:marTop w:val="0"/>
              <w:marBottom w:val="0"/>
              <w:divBdr>
                <w:top w:val="none" w:sz="0" w:space="0" w:color="auto"/>
                <w:left w:val="none" w:sz="0" w:space="0" w:color="auto"/>
                <w:bottom w:val="none" w:sz="0" w:space="0" w:color="auto"/>
                <w:right w:val="none" w:sz="0" w:space="0" w:color="auto"/>
              </w:divBdr>
              <w:divsChild>
                <w:div w:id="588346494">
                  <w:marLeft w:val="0"/>
                  <w:marRight w:val="0"/>
                  <w:marTop w:val="0"/>
                  <w:marBottom w:val="0"/>
                  <w:divBdr>
                    <w:top w:val="none" w:sz="0" w:space="0" w:color="auto"/>
                    <w:left w:val="none" w:sz="0" w:space="0" w:color="auto"/>
                    <w:bottom w:val="none" w:sz="0" w:space="0" w:color="auto"/>
                    <w:right w:val="none" w:sz="0" w:space="0" w:color="auto"/>
                  </w:divBdr>
                  <w:divsChild>
                    <w:div w:id="1769352326">
                      <w:marLeft w:val="0"/>
                      <w:marRight w:val="0"/>
                      <w:marTop w:val="0"/>
                      <w:marBottom w:val="0"/>
                      <w:divBdr>
                        <w:top w:val="none" w:sz="0" w:space="0" w:color="auto"/>
                        <w:left w:val="none" w:sz="0" w:space="0" w:color="auto"/>
                        <w:bottom w:val="none" w:sz="0" w:space="0" w:color="auto"/>
                        <w:right w:val="none" w:sz="0" w:space="0" w:color="auto"/>
                      </w:divBdr>
                      <w:divsChild>
                        <w:div w:id="1061101349">
                          <w:marLeft w:val="0"/>
                          <w:marRight w:val="0"/>
                          <w:marTop w:val="0"/>
                          <w:marBottom w:val="0"/>
                          <w:divBdr>
                            <w:top w:val="none" w:sz="0" w:space="0" w:color="auto"/>
                            <w:left w:val="none" w:sz="0" w:space="0" w:color="auto"/>
                            <w:bottom w:val="none" w:sz="0" w:space="0" w:color="auto"/>
                            <w:right w:val="none" w:sz="0" w:space="0" w:color="auto"/>
                          </w:divBdr>
                          <w:divsChild>
                            <w:div w:id="622421301">
                              <w:marLeft w:val="0"/>
                              <w:marRight w:val="0"/>
                              <w:marTop w:val="0"/>
                              <w:marBottom w:val="0"/>
                              <w:divBdr>
                                <w:top w:val="none" w:sz="0" w:space="0" w:color="auto"/>
                                <w:left w:val="none" w:sz="0" w:space="0" w:color="auto"/>
                                <w:bottom w:val="none" w:sz="0" w:space="0" w:color="auto"/>
                                <w:right w:val="none" w:sz="0" w:space="0" w:color="auto"/>
                              </w:divBdr>
                              <w:divsChild>
                                <w:div w:id="351614233">
                                  <w:marLeft w:val="0"/>
                                  <w:marRight w:val="0"/>
                                  <w:marTop w:val="0"/>
                                  <w:marBottom w:val="0"/>
                                  <w:divBdr>
                                    <w:top w:val="none" w:sz="0" w:space="0" w:color="auto"/>
                                    <w:left w:val="none" w:sz="0" w:space="0" w:color="auto"/>
                                    <w:bottom w:val="none" w:sz="0" w:space="0" w:color="auto"/>
                                    <w:right w:val="none" w:sz="0" w:space="0" w:color="auto"/>
                                  </w:divBdr>
                                  <w:divsChild>
                                    <w:div w:id="362756187">
                                      <w:marLeft w:val="0"/>
                                      <w:marRight w:val="0"/>
                                      <w:marTop w:val="0"/>
                                      <w:marBottom w:val="0"/>
                                      <w:divBdr>
                                        <w:top w:val="none" w:sz="0" w:space="0" w:color="auto"/>
                                        <w:left w:val="none" w:sz="0" w:space="0" w:color="auto"/>
                                        <w:bottom w:val="none" w:sz="0" w:space="0" w:color="auto"/>
                                        <w:right w:val="none" w:sz="0" w:space="0" w:color="auto"/>
                                      </w:divBdr>
                                      <w:divsChild>
                                        <w:div w:id="1027563043">
                                          <w:marLeft w:val="0"/>
                                          <w:marRight w:val="0"/>
                                          <w:marTop w:val="0"/>
                                          <w:marBottom w:val="0"/>
                                          <w:divBdr>
                                            <w:top w:val="none" w:sz="0" w:space="0" w:color="auto"/>
                                            <w:left w:val="none" w:sz="0" w:space="0" w:color="auto"/>
                                            <w:bottom w:val="none" w:sz="0" w:space="0" w:color="auto"/>
                                            <w:right w:val="none" w:sz="0" w:space="0" w:color="auto"/>
                                          </w:divBdr>
                                          <w:divsChild>
                                            <w:div w:id="689260406">
                                              <w:marLeft w:val="0"/>
                                              <w:marRight w:val="0"/>
                                              <w:marTop w:val="0"/>
                                              <w:marBottom w:val="0"/>
                                              <w:divBdr>
                                                <w:top w:val="none" w:sz="0" w:space="0" w:color="auto"/>
                                                <w:left w:val="none" w:sz="0" w:space="0" w:color="auto"/>
                                                <w:bottom w:val="none" w:sz="0" w:space="0" w:color="auto"/>
                                                <w:right w:val="none" w:sz="0" w:space="0" w:color="auto"/>
                                              </w:divBdr>
                                            </w:div>
                                            <w:div w:id="668102020">
                                              <w:marLeft w:val="0"/>
                                              <w:marRight w:val="0"/>
                                              <w:marTop w:val="0"/>
                                              <w:marBottom w:val="0"/>
                                              <w:divBdr>
                                                <w:top w:val="none" w:sz="0" w:space="0" w:color="auto"/>
                                                <w:left w:val="none" w:sz="0" w:space="0" w:color="auto"/>
                                                <w:bottom w:val="none" w:sz="0" w:space="0" w:color="auto"/>
                                                <w:right w:val="none" w:sz="0" w:space="0" w:color="auto"/>
                                              </w:divBdr>
                                            </w:div>
                                            <w:div w:id="189729728">
                                              <w:marLeft w:val="0"/>
                                              <w:marRight w:val="0"/>
                                              <w:marTop w:val="0"/>
                                              <w:marBottom w:val="0"/>
                                              <w:divBdr>
                                                <w:top w:val="none" w:sz="0" w:space="0" w:color="auto"/>
                                                <w:left w:val="none" w:sz="0" w:space="0" w:color="auto"/>
                                                <w:bottom w:val="none" w:sz="0" w:space="0" w:color="auto"/>
                                                <w:right w:val="none" w:sz="0" w:space="0" w:color="auto"/>
                                              </w:divBdr>
                                            </w:div>
                                            <w:div w:id="1413356433">
                                              <w:marLeft w:val="0"/>
                                              <w:marRight w:val="0"/>
                                              <w:marTop w:val="0"/>
                                              <w:marBottom w:val="0"/>
                                              <w:divBdr>
                                                <w:top w:val="none" w:sz="0" w:space="0" w:color="auto"/>
                                                <w:left w:val="none" w:sz="0" w:space="0" w:color="auto"/>
                                                <w:bottom w:val="none" w:sz="0" w:space="0" w:color="auto"/>
                                                <w:right w:val="none" w:sz="0" w:space="0" w:color="auto"/>
                                              </w:divBdr>
                                            </w:div>
                                            <w:div w:id="26792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3428912">
      <w:bodyDiv w:val="1"/>
      <w:marLeft w:val="0"/>
      <w:marRight w:val="0"/>
      <w:marTop w:val="0"/>
      <w:marBottom w:val="0"/>
      <w:divBdr>
        <w:top w:val="none" w:sz="0" w:space="0" w:color="auto"/>
        <w:left w:val="none" w:sz="0" w:space="0" w:color="auto"/>
        <w:bottom w:val="none" w:sz="0" w:space="0" w:color="auto"/>
        <w:right w:val="none" w:sz="0" w:space="0" w:color="auto"/>
      </w:divBdr>
    </w:div>
    <w:div w:id="1166283842">
      <w:bodyDiv w:val="1"/>
      <w:marLeft w:val="0"/>
      <w:marRight w:val="0"/>
      <w:marTop w:val="0"/>
      <w:marBottom w:val="0"/>
      <w:divBdr>
        <w:top w:val="none" w:sz="0" w:space="0" w:color="auto"/>
        <w:left w:val="none" w:sz="0" w:space="0" w:color="auto"/>
        <w:bottom w:val="none" w:sz="0" w:space="0" w:color="auto"/>
        <w:right w:val="none" w:sz="0" w:space="0" w:color="auto"/>
      </w:divBdr>
    </w:div>
    <w:div w:id="1270620216">
      <w:bodyDiv w:val="1"/>
      <w:marLeft w:val="0"/>
      <w:marRight w:val="0"/>
      <w:marTop w:val="0"/>
      <w:marBottom w:val="0"/>
      <w:divBdr>
        <w:top w:val="none" w:sz="0" w:space="0" w:color="auto"/>
        <w:left w:val="none" w:sz="0" w:space="0" w:color="auto"/>
        <w:bottom w:val="none" w:sz="0" w:space="0" w:color="auto"/>
        <w:right w:val="none" w:sz="0" w:space="0" w:color="auto"/>
      </w:divBdr>
    </w:div>
    <w:div w:id="1889679657">
      <w:bodyDiv w:val="1"/>
      <w:marLeft w:val="0"/>
      <w:marRight w:val="0"/>
      <w:marTop w:val="0"/>
      <w:marBottom w:val="0"/>
      <w:divBdr>
        <w:top w:val="none" w:sz="0" w:space="0" w:color="auto"/>
        <w:left w:val="none" w:sz="0" w:space="0" w:color="auto"/>
        <w:bottom w:val="none" w:sz="0" w:space="0" w:color="auto"/>
        <w:right w:val="none" w:sz="0" w:space="0" w:color="auto"/>
      </w:divBdr>
      <w:divsChild>
        <w:div w:id="1592741693">
          <w:marLeft w:val="0"/>
          <w:marRight w:val="0"/>
          <w:marTop w:val="0"/>
          <w:marBottom w:val="0"/>
          <w:divBdr>
            <w:top w:val="none" w:sz="0" w:space="0" w:color="auto"/>
            <w:left w:val="none" w:sz="0" w:space="0" w:color="auto"/>
            <w:bottom w:val="none" w:sz="0" w:space="0" w:color="auto"/>
            <w:right w:val="none" w:sz="0" w:space="0" w:color="auto"/>
          </w:divBdr>
          <w:divsChild>
            <w:div w:id="794107348">
              <w:marLeft w:val="0"/>
              <w:marRight w:val="0"/>
              <w:marTop w:val="0"/>
              <w:marBottom w:val="0"/>
              <w:divBdr>
                <w:top w:val="none" w:sz="0" w:space="0" w:color="auto"/>
                <w:left w:val="none" w:sz="0" w:space="0" w:color="auto"/>
                <w:bottom w:val="none" w:sz="0" w:space="0" w:color="auto"/>
                <w:right w:val="none" w:sz="0" w:space="0" w:color="auto"/>
              </w:divBdr>
              <w:divsChild>
                <w:div w:id="560672509">
                  <w:marLeft w:val="0"/>
                  <w:marRight w:val="0"/>
                  <w:marTop w:val="0"/>
                  <w:marBottom w:val="0"/>
                  <w:divBdr>
                    <w:top w:val="none" w:sz="0" w:space="0" w:color="auto"/>
                    <w:left w:val="none" w:sz="0" w:space="0" w:color="auto"/>
                    <w:bottom w:val="none" w:sz="0" w:space="0" w:color="auto"/>
                    <w:right w:val="none" w:sz="0" w:space="0" w:color="auto"/>
                  </w:divBdr>
                  <w:divsChild>
                    <w:div w:id="1068578931">
                      <w:marLeft w:val="0"/>
                      <w:marRight w:val="0"/>
                      <w:marTop w:val="0"/>
                      <w:marBottom w:val="0"/>
                      <w:divBdr>
                        <w:top w:val="none" w:sz="0" w:space="0" w:color="auto"/>
                        <w:left w:val="none" w:sz="0" w:space="0" w:color="auto"/>
                        <w:bottom w:val="none" w:sz="0" w:space="0" w:color="auto"/>
                        <w:right w:val="none" w:sz="0" w:space="0" w:color="auto"/>
                      </w:divBdr>
                      <w:divsChild>
                        <w:div w:id="791554703">
                          <w:marLeft w:val="0"/>
                          <w:marRight w:val="0"/>
                          <w:marTop w:val="0"/>
                          <w:marBottom w:val="0"/>
                          <w:divBdr>
                            <w:top w:val="none" w:sz="0" w:space="0" w:color="auto"/>
                            <w:left w:val="none" w:sz="0" w:space="0" w:color="auto"/>
                            <w:bottom w:val="none" w:sz="0" w:space="0" w:color="auto"/>
                            <w:right w:val="none" w:sz="0" w:space="0" w:color="auto"/>
                          </w:divBdr>
                          <w:divsChild>
                            <w:div w:id="1568764710">
                              <w:marLeft w:val="0"/>
                              <w:marRight w:val="0"/>
                              <w:marTop w:val="0"/>
                              <w:marBottom w:val="0"/>
                              <w:divBdr>
                                <w:top w:val="none" w:sz="0" w:space="0" w:color="auto"/>
                                <w:left w:val="none" w:sz="0" w:space="0" w:color="auto"/>
                                <w:bottom w:val="none" w:sz="0" w:space="0" w:color="auto"/>
                                <w:right w:val="none" w:sz="0" w:space="0" w:color="auto"/>
                              </w:divBdr>
                              <w:divsChild>
                                <w:div w:id="127520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www.bundesfinanzministerium.de/Content/DE/Downloads/Broschueren_Bestellservice/2019-10-19-erste-nationale-risikoanalyse_2018-2019.html" TargetMode="External"/><Relationship Id="rId13" Type="http://schemas.openxmlformats.org/officeDocument/2006/relationships/hyperlink" Target="https://www.fatf-gafi.org/publications/mutualevaluations/documents/mer-germany-2022.html" TargetMode="External"/><Relationship Id="rId3" Type="http://schemas.openxmlformats.org/officeDocument/2006/relationships/hyperlink" Target="https://ec.europa.eu/info/sites/info/files/supranational_risk_assessment_of_the_money_laundering_and_terrorist_financing_risks_affecting_the_union.pdf" TargetMode="External"/><Relationship Id="rId7" Type="http://schemas.openxmlformats.org/officeDocument/2006/relationships/hyperlink" Target="https://www.zoll.de/DE/FIU/Fachliche-Informationen/Drittlaender/drittlaender_node.html" TargetMode="External"/><Relationship Id="rId12" Type="http://schemas.openxmlformats.org/officeDocument/2006/relationships/hyperlink" Target="https://www.fatf-gafi.org/publications/fatfrecommendations/?hf=10&amp;b=0&amp;s=desc(fatf_releasedate)#:~:text=The%20FATF%20Recommendations%20are%20the,use%20of%20their%20financial%20system" TargetMode="External"/><Relationship Id="rId2" Type="http://schemas.openxmlformats.org/officeDocument/2006/relationships/hyperlink" Target="https://www.bundesfinanzministerium.de/Content/DE/Downloads/Broschueren_Bestellservice/2019-10-19-erste-nationale-risikoanalyse_2018-2019.html" TargetMode="External"/><Relationship Id="rId1" Type="http://schemas.openxmlformats.org/officeDocument/2006/relationships/hyperlink" Target="https://www.zoll.de/DE/FIU/Fachliche-Informationen/Drittlaender/drittlaender_node.html" TargetMode="External"/><Relationship Id="rId6" Type="http://schemas.openxmlformats.org/officeDocument/2006/relationships/hyperlink" Target="https://eur-lex.europa.eu/legal-content/DE/TXT/PDF/?uri=CELEX:52022DC0554&amp;from=EN" TargetMode="External"/><Relationship Id="rId11" Type="http://schemas.openxmlformats.org/officeDocument/2006/relationships/hyperlink" Target="https://eur-lex.europa.eu/legal-content/DE/TXT/PDF/?uri=CELEX:52022DC0554&amp;from=EN" TargetMode="External"/><Relationship Id="rId5" Type="http://schemas.openxmlformats.org/officeDocument/2006/relationships/hyperlink" Target="https://www.fatf-gafi.org/en/publications/Fatfrecommendations/Rba-legal-professionals.html" TargetMode="External"/><Relationship Id="rId15" Type="http://schemas.openxmlformats.org/officeDocument/2006/relationships/hyperlink" Target="https://www.zoll.de/DE/FIU/Fachliche-Informationen/Jahresberichte/jahresberichte_node.html" TargetMode="External"/><Relationship Id="rId10" Type="http://schemas.openxmlformats.org/officeDocument/2006/relationships/hyperlink" Target="https://eur-lex.europa.eu/legal-content/DE/TXT/PDF/?uri=CELEX:52019DC0370&amp;from=EN" TargetMode="External"/><Relationship Id="rId4" Type="http://schemas.openxmlformats.org/officeDocument/2006/relationships/hyperlink" Target="https://doi.org/10.1787/90bac5f5-en" TargetMode="External"/><Relationship Id="rId9" Type="http://schemas.openxmlformats.org/officeDocument/2006/relationships/hyperlink" Target="https://eur-lex.europa.eu/legal-content/DE/TXT/PDF/?uri=CELEX:52017DC0340" TargetMode="External"/><Relationship Id="rId14" Type="http://schemas.openxmlformats.org/officeDocument/2006/relationships/hyperlink" Target="https://www.fatf-gafi.org/en/publications/Fatfrecommendations/Rba-legal-professionals.html"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de-DE"/>
              <a:t>Geographische Herkunft </a:t>
            </a:r>
          </a:p>
          <a:p>
            <a:pPr>
              <a:defRPr/>
            </a:pPr>
            <a:r>
              <a:rPr lang="de-DE"/>
              <a:t>Katalogmandate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de-DE"/>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Tabelle1!$B$1</c:f>
              <c:strCache>
                <c:ptCount val="1"/>
                <c:pt idx="0">
                  <c:v>Geographische Herrkunft</c:v>
                </c:pt>
              </c:strCache>
            </c:strRef>
          </c:tx>
          <c:dPt>
            <c:idx val="0"/>
            <c:bubble3D val="0"/>
            <c:spPr>
              <a:solidFill>
                <a:schemeClr val="tx2">
                  <a:lumMod val="25000"/>
                  <a:lumOff val="75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1-C85A-49AD-B250-CD346EFA192C}"/>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C85A-49AD-B250-CD346EFA192C}"/>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C85A-49AD-B250-CD346EFA192C}"/>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de-DE"/>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Tabelle1!$A$2:$A$4</c:f>
              <c:strCache>
                <c:ptCount val="3"/>
                <c:pt idx="0">
                  <c:v>Mandanten Deutschland</c:v>
                </c:pt>
                <c:pt idx="1">
                  <c:v>Mandanten EU</c:v>
                </c:pt>
                <c:pt idx="2">
                  <c:v>Mandanten Drittland</c:v>
                </c:pt>
              </c:strCache>
            </c:strRef>
          </c:cat>
          <c:val>
            <c:numRef>
              <c:f>Tabelle1!$B$2:$B$4</c:f>
              <c:numCache>
                <c:formatCode>General</c:formatCode>
                <c:ptCount val="3"/>
                <c:pt idx="0">
                  <c:v>10</c:v>
                </c:pt>
                <c:pt idx="1">
                  <c:v>10</c:v>
                </c:pt>
                <c:pt idx="2">
                  <c:v>10</c:v>
                </c:pt>
              </c:numCache>
            </c:numRef>
          </c:val>
          <c:extLst>
            <c:ext xmlns:c16="http://schemas.microsoft.com/office/drawing/2014/chart" uri="{C3380CC4-5D6E-409C-BE32-E72D297353CC}">
              <c16:uniqueId val="{00000006-C85A-49AD-B250-CD346EFA192C}"/>
            </c:ext>
          </c:extLst>
        </c:ser>
        <c:dLbls>
          <c:dLblPos val="inEnd"/>
          <c:showLegendKey val="0"/>
          <c:showVal val="0"/>
          <c:showCatName val="0"/>
          <c:showSerName val="0"/>
          <c:showPercent val="1"/>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de-DE"/>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CMS Hasche Sigle Classic">
  <a:themeElements>
    <a:clrScheme name="Benutzerdefiniert 1">
      <a:dk1>
        <a:sysClr val="windowText" lastClr="000000"/>
      </a:dk1>
      <a:lt1>
        <a:sysClr val="window" lastClr="FFFFFF"/>
      </a:lt1>
      <a:dk2>
        <a:srgbClr val="13294A"/>
      </a:dk2>
      <a:lt2>
        <a:srgbClr val="D6D2D0"/>
      </a:lt2>
      <a:accent1>
        <a:srgbClr val="ADA6A1"/>
      </a:accent1>
      <a:accent2>
        <a:srgbClr val="ABB300"/>
      </a:accent2>
      <a:accent3>
        <a:srgbClr val="E98300"/>
      </a:accent3>
      <a:accent4>
        <a:srgbClr val="00AFD8"/>
      </a:accent4>
      <a:accent5>
        <a:srgbClr val="6B487A"/>
      </a:accent5>
      <a:accent6>
        <a:srgbClr val="DC222D"/>
      </a:accent6>
      <a:hlink>
        <a:srgbClr val="000000"/>
      </a:hlink>
      <a:folHlink>
        <a:srgbClr val="000000"/>
      </a:folHlink>
    </a:clrScheme>
    <a:fontScheme name="CMS  Times">
      <a:majorFont>
        <a:latin typeface="Times New Roman"/>
        <a:ea typeface=""/>
        <a:cs typeface=""/>
      </a:majorFont>
      <a:minorFont>
        <a:latin typeface="Times New Roman"/>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noFill/>
        <a:ln w="9525" cap="flat" cmpd="sng" algn="ctr">
          <a:solidFill>
            <a:schemeClr val="tx2"/>
          </a:solidFill>
          <a:prstDash val="solid"/>
          <a:round/>
          <a:headEnd type="none" w="med" len="med"/>
          <a:tailEnd type="none" w="med" len="med"/>
        </a:ln>
        <a:effectLst/>
      </a:spPr>
      <a:bodyPr vert="horz" wrap="square" lIns="91440" tIns="45720" rIns="91440" bIns="45720" numCol="1" rtlCol="0"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sz="1200" b="0" i="0" u="none" strike="noStrike" cap="none" normalizeH="0" baseline="0" smtClean="0">
            <a:ln>
              <a:noFill/>
            </a:ln>
            <a:solidFill>
              <a:schemeClr val="bg1"/>
            </a:solidFill>
            <a:effectLst/>
            <a:latin typeface="Arial" charset="0"/>
            <a:ea typeface="Arial Unicode MS" pitchFamily="34" charset="-128"/>
            <a:cs typeface="Arial Unicode MS" pitchFamily="34" charset="-128"/>
          </a:defRPr>
        </a:defPPr>
      </a:lstStyle>
    </a:spDef>
    <a:lnDef>
      <a:spPr bwMode="auto">
        <a:noFill/>
        <a:ln w="9525" cap="flat" cmpd="sng" algn="ctr">
          <a:solidFill>
            <a:schemeClr val="tx2"/>
          </a:solidFill>
          <a:prstDash val="solid"/>
          <a:round/>
          <a:headEnd type="none" w="med" len="med"/>
          <a:tailEnd type="none"/>
        </a:ln>
        <a:effectLst/>
      </a:spPr>
      <a:bodyPr/>
      <a:lstStyle/>
    </a:lnDef>
    <a:txDef>
      <a:spPr>
        <a:noFill/>
        <a:ln>
          <a:solidFill>
            <a:schemeClr val="tx2">
              <a:lumMod val="60000"/>
              <a:lumOff val="40000"/>
            </a:schemeClr>
          </a:solidFill>
        </a:ln>
      </a:spPr>
      <a:bodyPr wrap="square" rtlCol="0">
        <a:spAutoFit/>
      </a:bodyPr>
      <a:lstStyle>
        <a:defPPr>
          <a:defRPr dirty="0" err="1" smtClean="0">
            <a:solidFill>
              <a:schemeClr val="accent1"/>
            </a:solidFill>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999929 xmlns="http://www.datev.de/BSOffice/999929">474578cb-3bc4-4275-9440-e1d505218473</BSO999929>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1E5734-E068-41FB-8F41-1C27A97F7CEE}">
  <ds:schemaRefs>
    <ds:schemaRef ds:uri="http://www.datev.de/BSOffice/999929"/>
  </ds:schemaRefs>
</ds:datastoreItem>
</file>

<file path=customXml/itemProps2.xml><?xml version="1.0" encoding="utf-8"?>
<ds:datastoreItem xmlns:ds="http://schemas.openxmlformats.org/officeDocument/2006/customXml" ds:itemID="{51ACD3C4-978F-4E06-BFC3-F7245346D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4169</Words>
  <Characters>26269</Characters>
  <Application>Microsoft Office Word</Application>
  <DocSecurity>0</DocSecurity>
  <Lines>218</Lines>
  <Paragraphs>60</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30378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Vogt, Christoph</dc:creator>
  <cp:keywords/>
  <dc:description/>
  <cp:lastModifiedBy>Bluhm, Christian (BRAK)</cp:lastModifiedBy>
  <cp:revision>5</cp:revision>
  <cp:lastPrinted>2025-06-20T07:39:00Z</cp:lastPrinted>
  <dcterms:created xsi:type="dcterms:W3CDTF">2025-07-08T10:25:00Z</dcterms:created>
  <dcterms:modified xsi:type="dcterms:W3CDTF">2025-07-09T07:43:00Z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